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616" w:rsidRPr="00E70293" w:rsidRDefault="0065702E" w:rsidP="004D7616">
      <w:pPr>
        <w:pStyle w:val="Heading1"/>
      </w:pPr>
      <w:bookmarkStart w:id="0" w:name="_Toc224698323"/>
      <w:r>
        <w:t xml:space="preserve">ANNEX III. - </w:t>
      </w:r>
      <w:r w:rsidR="004D7616" w:rsidRPr="00E70293">
        <w:t xml:space="preserve">Declaration on </w:t>
      </w:r>
      <w:bookmarkEnd w:id="0"/>
      <w:r w:rsidR="004D7616" w:rsidRPr="00E70293">
        <w:t>State aid</w:t>
      </w:r>
    </w:p>
    <w:tbl>
      <w:tblPr>
        <w:tblW w:w="9665" w:type="dxa"/>
        <w:tblInd w:w="70" w:type="dxa"/>
        <w:tblCellMar>
          <w:left w:w="70" w:type="dxa"/>
          <w:right w:w="70" w:type="dxa"/>
        </w:tblCellMar>
        <w:tblLook w:val="0000" w:firstRow="0" w:lastRow="0" w:firstColumn="0" w:lastColumn="0" w:noHBand="0" w:noVBand="0"/>
      </w:tblPr>
      <w:tblGrid>
        <w:gridCol w:w="9665"/>
      </w:tblGrid>
      <w:tr w:rsidR="004D7616" w:rsidRPr="00BC6B5C" w:rsidTr="00E70293">
        <w:trPr>
          <w:trHeight w:val="255"/>
        </w:trPr>
        <w:tc>
          <w:tcPr>
            <w:tcW w:w="9665" w:type="dxa"/>
            <w:tcBorders>
              <w:top w:val="nil"/>
              <w:left w:val="nil"/>
              <w:right w:val="nil"/>
            </w:tcBorders>
            <w:noWrap/>
            <w:vAlign w:val="bottom"/>
          </w:tcPr>
          <w:p w:rsidR="006F2FBA" w:rsidRPr="006F2FBA" w:rsidRDefault="006F2FBA">
            <w:pPr>
              <w:rPr>
                <w:b/>
              </w:rPr>
            </w:pPr>
            <w:r>
              <w:rPr>
                <w:b/>
                <w:i/>
              </w:rPr>
              <w:t>Please f</w:t>
            </w:r>
            <w:r w:rsidRPr="006F2FBA">
              <w:rPr>
                <w:b/>
                <w:i/>
              </w:rPr>
              <w:t xml:space="preserve">ill </w:t>
            </w:r>
            <w:r>
              <w:rPr>
                <w:b/>
                <w:i/>
              </w:rPr>
              <w:t xml:space="preserve">in </w:t>
            </w:r>
            <w:r w:rsidRPr="006F2FBA">
              <w:rPr>
                <w:b/>
                <w:i/>
              </w:rPr>
              <w:t>and print only the Declaration part of the document</w:t>
            </w:r>
            <w:r>
              <w:rPr>
                <w:b/>
                <w:i/>
              </w:rPr>
              <w:t>!</w:t>
            </w:r>
          </w:p>
          <w:p w:rsidR="004D7616" w:rsidRPr="00E70293" w:rsidRDefault="006C6849" w:rsidP="00936710">
            <w:pPr>
              <w:rPr>
                <w:rFonts w:ascii="Aller" w:hAnsi="Aller" w:cstheme="majorBidi"/>
                <w:b/>
                <w:bCs/>
                <w:lang w:val="sk-SK"/>
              </w:rPr>
            </w:pPr>
            <w:r w:rsidRPr="008C04AC">
              <w:t xml:space="preserve">Declaration on </w:t>
            </w:r>
            <w:r>
              <w:t>State aid</w:t>
            </w:r>
            <w:r w:rsidRPr="008C04AC">
              <w:t xml:space="preserve"> has to be </w:t>
            </w:r>
            <w:r>
              <w:t xml:space="preserve">filled </w:t>
            </w:r>
            <w:r w:rsidR="00042E53">
              <w:t>in</w:t>
            </w:r>
            <w:r>
              <w:t xml:space="preserve"> and signed </w:t>
            </w:r>
            <w:r w:rsidRPr="008C04AC">
              <w:t xml:space="preserve">by </w:t>
            </w:r>
            <w:r>
              <w:t xml:space="preserve">each </w:t>
            </w:r>
            <w:r w:rsidR="006C16E7">
              <w:t xml:space="preserve">Project </w:t>
            </w:r>
            <w:r w:rsidRPr="008C04AC">
              <w:t xml:space="preserve">partner </w:t>
            </w:r>
            <w:r>
              <w:t xml:space="preserve">(separately) </w:t>
            </w:r>
            <w:r w:rsidRPr="008C04AC">
              <w:t>receiving support from project.</w:t>
            </w:r>
            <w:bookmarkStart w:id="1" w:name="_GoBack"/>
            <w:bookmarkEnd w:id="1"/>
          </w:p>
        </w:tc>
      </w:tr>
      <w:tr w:rsidR="006C6849" w:rsidRPr="006C6849" w:rsidTr="00E70293">
        <w:trPr>
          <w:trHeight w:val="255"/>
        </w:trPr>
        <w:tc>
          <w:tcPr>
            <w:tcW w:w="9665" w:type="dxa"/>
            <w:tcBorders>
              <w:left w:val="nil"/>
              <w:right w:val="nil"/>
            </w:tcBorders>
            <w:noWrap/>
          </w:tcPr>
          <w:tbl>
            <w:tblPr>
              <w:tblStyle w:val="TableGrid"/>
              <w:tblW w:w="4606" w:type="pct"/>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top w:w="57" w:type="dxa"/>
                <w:bottom w:w="57" w:type="dxa"/>
              </w:tblCellMar>
              <w:tblLook w:val="01E0" w:firstRow="1" w:lastRow="1" w:firstColumn="1" w:lastColumn="1" w:noHBand="0" w:noVBand="0"/>
            </w:tblPr>
            <w:tblGrid>
              <w:gridCol w:w="2089"/>
              <w:gridCol w:w="6630"/>
            </w:tblGrid>
            <w:tr w:rsidR="006C6849" w:rsidRPr="00625B75" w:rsidTr="006F2FBA">
              <w:trPr>
                <w:trHeight w:val="680"/>
              </w:trPr>
              <w:tc>
                <w:tcPr>
                  <w:tcW w:w="1198" w:type="pct"/>
                  <w:vAlign w:val="center"/>
                </w:tcPr>
                <w:p w:rsidR="006C6849" w:rsidRPr="00625B75" w:rsidRDefault="006C6849" w:rsidP="006C6849">
                  <w:pPr>
                    <w:pStyle w:val="Tblzatszveg"/>
                    <w:rPr>
                      <w:b/>
                      <w:bCs/>
                    </w:rPr>
                  </w:pPr>
                  <w:r w:rsidRPr="00625B75">
                    <w:rPr>
                      <w:b/>
                      <w:bCs/>
                    </w:rPr>
                    <w:t>Project title:</w:t>
                  </w:r>
                </w:p>
              </w:tc>
              <w:tc>
                <w:tcPr>
                  <w:tcW w:w="3802" w:type="pct"/>
                  <w:vAlign w:val="center"/>
                </w:tcPr>
                <w:p w:rsidR="006C6849" w:rsidRPr="00625B75" w:rsidRDefault="006C6849" w:rsidP="006C6849">
                  <w:pPr>
                    <w:pStyle w:val="Tblzatszveg"/>
                    <w:rPr>
                      <w:b/>
                      <w:bCs/>
                    </w:rPr>
                  </w:pPr>
                </w:p>
              </w:tc>
            </w:tr>
            <w:tr w:rsidR="006C6849" w:rsidRPr="00625B75" w:rsidTr="006F2FBA">
              <w:trPr>
                <w:trHeight w:val="680"/>
              </w:trPr>
              <w:tc>
                <w:tcPr>
                  <w:tcW w:w="1198" w:type="pct"/>
                  <w:vAlign w:val="center"/>
                </w:tcPr>
                <w:p w:rsidR="006C6849" w:rsidRPr="00625B75" w:rsidRDefault="006C6849" w:rsidP="006C6849">
                  <w:pPr>
                    <w:pStyle w:val="Tblzatszveg"/>
                    <w:rPr>
                      <w:b/>
                      <w:bCs/>
                    </w:rPr>
                  </w:pPr>
                  <w:r w:rsidRPr="00625B75">
                    <w:rPr>
                      <w:b/>
                      <w:bCs/>
                    </w:rPr>
                    <w:t xml:space="preserve">Name of the </w:t>
                  </w:r>
                  <w:r w:rsidR="006C16E7">
                    <w:rPr>
                      <w:b/>
                      <w:bCs/>
                    </w:rPr>
                    <w:t xml:space="preserve">Project </w:t>
                  </w:r>
                  <w:r w:rsidRPr="00625B75">
                    <w:rPr>
                      <w:b/>
                      <w:bCs/>
                    </w:rPr>
                    <w:t>partner</w:t>
                  </w:r>
                </w:p>
              </w:tc>
              <w:tc>
                <w:tcPr>
                  <w:tcW w:w="3802" w:type="pct"/>
                  <w:vAlign w:val="center"/>
                </w:tcPr>
                <w:p w:rsidR="006C6849" w:rsidRPr="00625B75" w:rsidRDefault="006C6849" w:rsidP="006C6849">
                  <w:pPr>
                    <w:pStyle w:val="Tblzatszveg"/>
                    <w:rPr>
                      <w:rStyle w:val="PlaceholderText"/>
                      <w:rFonts w:eastAsiaTheme="majorEastAsia"/>
                    </w:rPr>
                  </w:pPr>
                </w:p>
              </w:tc>
            </w:tr>
            <w:tr w:rsidR="006C6849" w:rsidRPr="00625B75" w:rsidTr="006F2FBA">
              <w:trPr>
                <w:trHeight w:val="680"/>
              </w:trPr>
              <w:tc>
                <w:tcPr>
                  <w:tcW w:w="1198" w:type="pct"/>
                  <w:vAlign w:val="center"/>
                </w:tcPr>
                <w:p w:rsidR="006C6849" w:rsidRPr="00625B75" w:rsidRDefault="006C6849" w:rsidP="006C6849">
                  <w:pPr>
                    <w:pStyle w:val="Tblzatszveg"/>
                    <w:rPr>
                      <w:b/>
                      <w:bCs/>
                    </w:rPr>
                  </w:pPr>
                  <w:r>
                    <w:rPr>
                      <w:b/>
                      <w:bCs/>
                    </w:rPr>
                    <w:t>Country</w:t>
                  </w:r>
                </w:p>
              </w:tc>
              <w:tc>
                <w:tcPr>
                  <w:tcW w:w="3802" w:type="pct"/>
                  <w:vAlign w:val="center"/>
                </w:tcPr>
                <w:p w:rsidR="006C6849" w:rsidRPr="00625B75" w:rsidRDefault="006C6849" w:rsidP="006C6849">
                  <w:pPr>
                    <w:pStyle w:val="Tblzatszveg"/>
                    <w:rPr>
                      <w:rStyle w:val="PlaceholderText"/>
                      <w:rFonts w:eastAsiaTheme="majorEastAsia"/>
                    </w:rPr>
                  </w:pPr>
                </w:p>
              </w:tc>
            </w:tr>
          </w:tbl>
          <w:p w:rsidR="006C6849" w:rsidRPr="00E70293" w:rsidRDefault="006C6849" w:rsidP="006C6849">
            <w:pPr>
              <w:rPr>
                <w:rFonts w:cs="Arial"/>
                <w:bCs/>
                <w:lang w:eastAsia="sl-SI"/>
              </w:rPr>
            </w:pPr>
          </w:p>
        </w:tc>
      </w:tr>
    </w:tbl>
    <w:p w:rsidR="00E814FE" w:rsidRDefault="00E814FE" w:rsidP="00E70293">
      <w:pPr>
        <w:autoSpaceDE w:val="0"/>
        <w:autoSpaceDN w:val="0"/>
        <w:adjustRightInd w:val="0"/>
        <w:spacing w:before="120" w:line="240" w:lineRule="auto"/>
        <w:ind w:right="288"/>
        <w:rPr>
          <w:rFonts w:cs="Arial"/>
          <w:i/>
          <w:sz w:val="18"/>
          <w:szCs w:val="18"/>
          <w:lang w:eastAsia="en-US"/>
        </w:rPr>
      </w:pPr>
    </w:p>
    <w:p w:rsidR="00042E53" w:rsidRPr="00E814FE" w:rsidRDefault="00042E53" w:rsidP="0065702E">
      <w:pPr>
        <w:rPr>
          <w:lang w:eastAsia="en-US"/>
        </w:rPr>
      </w:pPr>
      <w:r w:rsidRPr="00E814FE">
        <w:rPr>
          <w:lang w:eastAsia="en-US"/>
        </w:rPr>
        <w:t>Definition of state aid in accordance with Article 107(1) of the Treaty on the Functioning of the European Union</w:t>
      </w:r>
      <w:r w:rsidRPr="00E814FE">
        <w:rPr>
          <w:rFonts w:eastAsia="SimSun"/>
          <w:vertAlign w:val="superscript"/>
          <w:lang w:val="de-DE" w:eastAsia="en-US"/>
        </w:rPr>
        <w:footnoteReference w:id="2"/>
      </w:r>
      <w:r w:rsidRPr="00E814FE">
        <w:rPr>
          <w:lang w:eastAsia="en-US"/>
        </w:rPr>
        <w:t>: Save as otherwise provided in the Treaties, any aid granted by a Member State or through State resources in any form whatsoever which distorts or threatens to distort competition by favouring certain undertakings or the production of certain goods shall, in so far as it affects trade between Member States, be incompatible with the internal market. Derogations are set out in Article 107 (2) and (3).</w:t>
      </w:r>
      <w:r w:rsidR="0065702E">
        <w:rPr>
          <w:lang w:eastAsia="en-US"/>
        </w:rPr>
        <w:t xml:space="preserve"> </w:t>
      </w:r>
      <w:r w:rsidRPr="00E814FE">
        <w:rPr>
          <w:lang w:eastAsia="en-US"/>
        </w:rPr>
        <w:t>Before the State aid tests can be applied it is necessary to determine whether the following two aspects are present:</w:t>
      </w:r>
    </w:p>
    <w:tbl>
      <w:tblPr>
        <w:tblW w:w="87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447"/>
        <w:gridCol w:w="1481"/>
        <w:gridCol w:w="3802"/>
      </w:tblGrid>
      <w:tr w:rsidR="00042E53" w:rsidRPr="00042E53" w:rsidTr="0065702E">
        <w:tc>
          <w:tcPr>
            <w:tcW w:w="3447" w:type="dxa"/>
            <w:shd w:val="clear" w:color="auto" w:fill="B8CCE4"/>
            <w:vAlign w:val="center"/>
          </w:tcPr>
          <w:p w:rsidR="00042E53" w:rsidRPr="0065702E" w:rsidRDefault="00042E53" w:rsidP="0065702E">
            <w:pPr>
              <w:pStyle w:val="Tblzatszveg"/>
              <w:jc w:val="center"/>
              <w:rPr>
                <w:b/>
                <w:lang w:eastAsia="sl-SI"/>
              </w:rPr>
            </w:pPr>
            <w:r w:rsidRPr="0065702E">
              <w:rPr>
                <w:b/>
                <w:lang w:eastAsia="sl-SI"/>
              </w:rPr>
              <w:t>Criteria</w:t>
            </w:r>
          </w:p>
        </w:tc>
        <w:tc>
          <w:tcPr>
            <w:tcW w:w="1481" w:type="dxa"/>
            <w:shd w:val="clear" w:color="auto" w:fill="B8CCE4"/>
            <w:vAlign w:val="center"/>
          </w:tcPr>
          <w:p w:rsidR="00042E53" w:rsidRPr="0065702E" w:rsidRDefault="00042E53" w:rsidP="0065702E">
            <w:pPr>
              <w:pStyle w:val="Tblzatszveg"/>
              <w:jc w:val="center"/>
              <w:rPr>
                <w:b/>
                <w:lang w:eastAsia="sl-SI"/>
              </w:rPr>
            </w:pPr>
            <w:r w:rsidRPr="0065702E">
              <w:rPr>
                <w:b/>
                <w:lang w:eastAsia="sl-SI"/>
              </w:rPr>
              <w:t>Relevant for Beneficiary</w:t>
            </w:r>
          </w:p>
          <w:p w:rsidR="00042E53" w:rsidRPr="0065702E" w:rsidRDefault="00042E53" w:rsidP="0065702E">
            <w:pPr>
              <w:pStyle w:val="Tblzatszveg"/>
              <w:jc w:val="center"/>
              <w:rPr>
                <w:b/>
                <w:lang w:eastAsia="sl-SI"/>
              </w:rPr>
            </w:pPr>
            <w:r w:rsidRPr="0065702E">
              <w:rPr>
                <w:b/>
                <w:lang w:eastAsia="sl-SI"/>
              </w:rPr>
              <w:t>(Yes/No)</w:t>
            </w:r>
          </w:p>
        </w:tc>
        <w:tc>
          <w:tcPr>
            <w:tcW w:w="3802" w:type="dxa"/>
            <w:shd w:val="clear" w:color="auto" w:fill="B8CCE4"/>
            <w:vAlign w:val="center"/>
          </w:tcPr>
          <w:p w:rsidR="00042E53" w:rsidRPr="0065702E" w:rsidRDefault="00042E53" w:rsidP="0065702E">
            <w:pPr>
              <w:pStyle w:val="Tblzatszveg"/>
              <w:jc w:val="center"/>
              <w:rPr>
                <w:b/>
                <w:lang w:eastAsia="sl-SI"/>
              </w:rPr>
            </w:pPr>
            <w:r w:rsidRPr="0065702E">
              <w:rPr>
                <w:b/>
                <w:lang w:eastAsia="sl-SI"/>
              </w:rPr>
              <w:t>Comments</w:t>
            </w:r>
          </w:p>
          <w:p w:rsidR="00042E53" w:rsidRPr="0065702E" w:rsidRDefault="00042E53" w:rsidP="0065702E">
            <w:pPr>
              <w:pStyle w:val="Tblzatszveg"/>
              <w:jc w:val="center"/>
              <w:rPr>
                <w:b/>
                <w:lang w:eastAsia="sl-SI"/>
              </w:rPr>
            </w:pPr>
            <w:r w:rsidRPr="0065702E">
              <w:rPr>
                <w:b/>
                <w:lang w:eastAsia="sl-SI"/>
              </w:rPr>
              <w:t>(if Yes, please specify)</w:t>
            </w:r>
          </w:p>
        </w:tc>
      </w:tr>
      <w:tr w:rsidR="00042E53" w:rsidRPr="00042E53" w:rsidTr="0065702E">
        <w:tc>
          <w:tcPr>
            <w:tcW w:w="3447" w:type="dxa"/>
            <w:shd w:val="clear" w:color="auto" w:fill="B8CCE4"/>
          </w:tcPr>
          <w:p w:rsidR="00042E53" w:rsidRPr="0065702E" w:rsidRDefault="00042E53" w:rsidP="0065702E">
            <w:pPr>
              <w:pStyle w:val="Tblzatszveg"/>
              <w:jc w:val="left"/>
              <w:rPr>
                <w:b/>
                <w:u w:val="single"/>
                <w:lang w:eastAsia="en-US"/>
              </w:rPr>
            </w:pPr>
            <w:r w:rsidRPr="0065702E">
              <w:rPr>
                <w:b/>
                <w:u w:val="single"/>
                <w:lang w:eastAsia="en-US"/>
              </w:rPr>
              <w:t>a.) The Beneficiary is an undertaking</w:t>
            </w:r>
          </w:p>
          <w:p w:rsidR="00042E53" w:rsidRPr="0065702E" w:rsidRDefault="00042E53" w:rsidP="0065702E">
            <w:pPr>
              <w:pStyle w:val="Tblzatszveg"/>
              <w:jc w:val="left"/>
              <w:rPr>
                <w:sz w:val="16"/>
                <w:szCs w:val="16"/>
                <w:u w:val="single"/>
                <w:lang w:eastAsia="de-DE"/>
              </w:rPr>
            </w:pPr>
            <w:r w:rsidRPr="0065702E">
              <w:rPr>
                <w:sz w:val="16"/>
                <w:szCs w:val="16"/>
                <w:lang w:eastAsia="de-DE"/>
              </w:rPr>
              <w:t>Undertaking is an entity engaged in an economic activity, regardless of their legal status and the way in which they are financed.</w:t>
            </w:r>
          </w:p>
        </w:tc>
        <w:tc>
          <w:tcPr>
            <w:tcW w:w="1481" w:type="dxa"/>
            <w:vAlign w:val="center"/>
          </w:tcPr>
          <w:p w:rsidR="00042E53" w:rsidRPr="0065702E" w:rsidRDefault="00042E53" w:rsidP="0065702E">
            <w:pPr>
              <w:pStyle w:val="Tblzatszveg"/>
              <w:jc w:val="center"/>
              <w:rPr>
                <w:lang w:eastAsia="sl-SI"/>
              </w:rPr>
            </w:pPr>
          </w:p>
        </w:tc>
        <w:tc>
          <w:tcPr>
            <w:tcW w:w="3802" w:type="dxa"/>
            <w:vAlign w:val="center"/>
          </w:tcPr>
          <w:p w:rsidR="00042E53" w:rsidRPr="0065702E" w:rsidRDefault="00042E53" w:rsidP="0065702E">
            <w:pPr>
              <w:pStyle w:val="Tblzatszveg"/>
              <w:jc w:val="center"/>
              <w:rPr>
                <w:lang w:eastAsia="sl-SI"/>
              </w:rPr>
            </w:pPr>
          </w:p>
        </w:tc>
      </w:tr>
      <w:tr w:rsidR="00042E53" w:rsidRPr="00042E53" w:rsidTr="0065702E">
        <w:tc>
          <w:tcPr>
            <w:tcW w:w="3447" w:type="dxa"/>
            <w:shd w:val="clear" w:color="auto" w:fill="B8CCE4"/>
          </w:tcPr>
          <w:p w:rsidR="00042E53" w:rsidRPr="0065702E" w:rsidRDefault="00042E53" w:rsidP="0065702E">
            <w:pPr>
              <w:pStyle w:val="Tblzatszveg"/>
              <w:jc w:val="left"/>
              <w:rPr>
                <w:b/>
                <w:u w:val="single"/>
                <w:lang w:eastAsia="en-US"/>
              </w:rPr>
            </w:pPr>
            <w:r w:rsidRPr="0065702E">
              <w:rPr>
                <w:b/>
                <w:u w:val="single"/>
                <w:lang w:eastAsia="en-US"/>
              </w:rPr>
              <w:t>b.) Economic activity</w:t>
            </w:r>
          </w:p>
          <w:p w:rsidR="00042E53" w:rsidRPr="0065702E" w:rsidRDefault="00042E53" w:rsidP="0065702E">
            <w:pPr>
              <w:pStyle w:val="Tblzatszveg"/>
              <w:jc w:val="left"/>
              <w:rPr>
                <w:sz w:val="16"/>
                <w:szCs w:val="16"/>
                <w:lang w:eastAsia="de-DE"/>
              </w:rPr>
            </w:pPr>
            <w:r w:rsidRPr="0065702E">
              <w:rPr>
                <w:sz w:val="16"/>
                <w:szCs w:val="16"/>
                <w:lang w:eastAsia="de-DE"/>
              </w:rPr>
              <w:t xml:space="preserve">The recipient of the aid exercises any activity of economic nature consisting in offering goods and/or services on a market and which could, at least in principle, </w:t>
            </w:r>
            <w:proofErr w:type="gramStart"/>
            <w:r w:rsidRPr="0065702E">
              <w:rPr>
                <w:sz w:val="16"/>
                <w:szCs w:val="16"/>
                <w:lang w:eastAsia="de-DE"/>
              </w:rPr>
              <w:t>be</w:t>
            </w:r>
            <w:proofErr w:type="gramEnd"/>
            <w:r w:rsidRPr="0065702E">
              <w:rPr>
                <w:sz w:val="16"/>
                <w:szCs w:val="16"/>
                <w:lang w:eastAsia="de-DE"/>
              </w:rPr>
              <w:t xml:space="preserve"> carried out by a private operator for remuneration.</w:t>
            </w:r>
          </w:p>
        </w:tc>
        <w:tc>
          <w:tcPr>
            <w:tcW w:w="1481" w:type="dxa"/>
            <w:vAlign w:val="center"/>
          </w:tcPr>
          <w:p w:rsidR="00042E53" w:rsidRPr="0065702E" w:rsidRDefault="00042E53" w:rsidP="0065702E">
            <w:pPr>
              <w:pStyle w:val="Tblzatszveg"/>
              <w:jc w:val="center"/>
              <w:rPr>
                <w:lang w:eastAsia="sl-SI"/>
              </w:rPr>
            </w:pPr>
          </w:p>
        </w:tc>
        <w:tc>
          <w:tcPr>
            <w:tcW w:w="3802" w:type="dxa"/>
            <w:vAlign w:val="center"/>
          </w:tcPr>
          <w:p w:rsidR="00042E53" w:rsidRPr="0065702E" w:rsidRDefault="00042E53" w:rsidP="0065702E">
            <w:pPr>
              <w:pStyle w:val="Tblzatszveg"/>
              <w:jc w:val="center"/>
              <w:rPr>
                <w:lang w:eastAsia="sl-SI"/>
              </w:rPr>
            </w:pPr>
          </w:p>
        </w:tc>
      </w:tr>
    </w:tbl>
    <w:p w:rsidR="0065702E" w:rsidRDefault="0065702E" w:rsidP="0065702E">
      <w:pPr>
        <w:rPr>
          <w:lang w:eastAsia="en-US"/>
        </w:rPr>
      </w:pPr>
    </w:p>
    <w:p w:rsidR="00042E53" w:rsidRPr="00E814FE" w:rsidRDefault="00042E53" w:rsidP="0065702E">
      <w:pPr>
        <w:rPr>
          <w:lang w:eastAsia="en-US"/>
        </w:rPr>
      </w:pPr>
      <w:r w:rsidRPr="00E814FE">
        <w:rPr>
          <w:lang w:eastAsia="en-US"/>
        </w:rPr>
        <w:lastRenderedPageBreak/>
        <w:t xml:space="preserve">State aid rules apply only to measures that satisfy all of the criteria listed in Article 107(1) of the </w:t>
      </w:r>
      <w:proofErr w:type="gramStart"/>
      <w:r w:rsidRPr="00E814FE">
        <w:rPr>
          <w:lang w:eastAsia="en-US"/>
        </w:rPr>
        <w:t>Treaty,</w:t>
      </w:r>
      <w:proofErr w:type="gramEnd"/>
      <w:r w:rsidRPr="00E814FE">
        <w:rPr>
          <w:lang w:eastAsia="en-US"/>
        </w:rPr>
        <w:t xml:space="preserve"> and in particular the four criteria below.</w:t>
      </w:r>
    </w:p>
    <w:tbl>
      <w:tblPr>
        <w:tblW w:w="87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418"/>
        <w:gridCol w:w="1578"/>
        <w:gridCol w:w="3734"/>
      </w:tblGrid>
      <w:tr w:rsidR="00042E53" w:rsidRPr="00E814FE" w:rsidTr="0065702E">
        <w:tc>
          <w:tcPr>
            <w:tcW w:w="3418" w:type="dxa"/>
            <w:shd w:val="clear" w:color="auto" w:fill="B8CCE4"/>
            <w:vAlign w:val="center"/>
          </w:tcPr>
          <w:p w:rsidR="00042E53" w:rsidRPr="0065702E" w:rsidRDefault="00042E53" w:rsidP="0065702E">
            <w:pPr>
              <w:pStyle w:val="Tblzatszveg"/>
              <w:jc w:val="center"/>
              <w:rPr>
                <w:b/>
                <w:lang w:eastAsia="sl-SI"/>
              </w:rPr>
            </w:pPr>
            <w:r w:rsidRPr="0065702E">
              <w:rPr>
                <w:b/>
                <w:lang w:eastAsia="sl-SI"/>
              </w:rPr>
              <w:t>Criteria</w:t>
            </w:r>
          </w:p>
        </w:tc>
        <w:tc>
          <w:tcPr>
            <w:tcW w:w="1578" w:type="dxa"/>
            <w:shd w:val="clear" w:color="auto" w:fill="B8CCE4"/>
            <w:vAlign w:val="center"/>
          </w:tcPr>
          <w:p w:rsidR="00042E53" w:rsidRPr="0065702E" w:rsidRDefault="00042E53" w:rsidP="0065702E">
            <w:pPr>
              <w:pStyle w:val="Tblzatszveg"/>
              <w:jc w:val="center"/>
              <w:rPr>
                <w:b/>
                <w:lang w:eastAsia="sl-SI"/>
              </w:rPr>
            </w:pPr>
            <w:r w:rsidRPr="0065702E">
              <w:rPr>
                <w:b/>
                <w:lang w:eastAsia="sl-SI"/>
              </w:rPr>
              <w:t>Relevant for Beneficiary</w:t>
            </w:r>
          </w:p>
          <w:p w:rsidR="00042E53" w:rsidRPr="0065702E" w:rsidRDefault="00042E53" w:rsidP="0065702E">
            <w:pPr>
              <w:pStyle w:val="Tblzatszveg"/>
              <w:jc w:val="center"/>
              <w:rPr>
                <w:b/>
                <w:lang w:eastAsia="sl-SI"/>
              </w:rPr>
            </w:pPr>
            <w:r w:rsidRPr="0065702E">
              <w:rPr>
                <w:b/>
                <w:lang w:eastAsia="sl-SI"/>
              </w:rPr>
              <w:t>(Yes/No)</w:t>
            </w:r>
          </w:p>
        </w:tc>
        <w:tc>
          <w:tcPr>
            <w:tcW w:w="3734" w:type="dxa"/>
            <w:shd w:val="clear" w:color="auto" w:fill="B8CCE4"/>
            <w:vAlign w:val="center"/>
          </w:tcPr>
          <w:p w:rsidR="00042E53" w:rsidRPr="0065702E" w:rsidRDefault="00042E53" w:rsidP="0065702E">
            <w:pPr>
              <w:pStyle w:val="Tblzatszveg"/>
              <w:jc w:val="center"/>
              <w:rPr>
                <w:b/>
                <w:lang w:eastAsia="sl-SI"/>
              </w:rPr>
            </w:pPr>
            <w:r w:rsidRPr="0065702E">
              <w:rPr>
                <w:b/>
                <w:lang w:eastAsia="sl-SI"/>
              </w:rPr>
              <w:t>Comments</w:t>
            </w:r>
          </w:p>
          <w:p w:rsidR="00042E53" w:rsidRPr="0065702E" w:rsidRDefault="00042E53" w:rsidP="0065702E">
            <w:pPr>
              <w:pStyle w:val="Tblzatszveg"/>
              <w:jc w:val="center"/>
              <w:rPr>
                <w:b/>
                <w:lang w:eastAsia="sl-SI"/>
              </w:rPr>
            </w:pPr>
            <w:r w:rsidRPr="0065702E">
              <w:rPr>
                <w:b/>
                <w:lang w:eastAsia="sl-SI"/>
              </w:rPr>
              <w:t>(if Yes, please specify)</w:t>
            </w:r>
          </w:p>
        </w:tc>
      </w:tr>
      <w:tr w:rsidR="00042E53" w:rsidRPr="00E814FE" w:rsidTr="0065702E">
        <w:tc>
          <w:tcPr>
            <w:tcW w:w="3418" w:type="dxa"/>
            <w:shd w:val="clear" w:color="auto" w:fill="B8CCE4"/>
          </w:tcPr>
          <w:p w:rsidR="00042E53" w:rsidRPr="00E814FE" w:rsidRDefault="00042E53" w:rsidP="0065702E">
            <w:pPr>
              <w:spacing w:after="0" w:line="240" w:lineRule="auto"/>
              <w:jc w:val="left"/>
              <w:rPr>
                <w:rFonts w:cs="Arial"/>
                <w:b/>
                <w:sz w:val="18"/>
                <w:szCs w:val="18"/>
                <w:u w:val="single"/>
                <w:lang w:eastAsia="en-US"/>
              </w:rPr>
            </w:pPr>
            <w:r w:rsidRPr="00E814FE">
              <w:rPr>
                <w:rFonts w:cs="Arial"/>
                <w:b/>
                <w:sz w:val="18"/>
                <w:szCs w:val="18"/>
                <w:u w:val="single"/>
                <w:lang w:eastAsia="en-US"/>
              </w:rPr>
              <w:t>1.) Transfer of state resources</w:t>
            </w:r>
          </w:p>
          <w:p w:rsidR="00042E53" w:rsidRPr="00E814FE" w:rsidRDefault="00042E53" w:rsidP="0065702E">
            <w:pPr>
              <w:keepNext/>
              <w:spacing w:after="0" w:line="240" w:lineRule="auto"/>
              <w:jc w:val="left"/>
              <w:outlineLvl w:val="0"/>
              <w:rPr>
                <w:rFonts w:cs="Arial"/>
                <w:bCs/>
                <w:sz w:val="16"/>
                <w:szCs w:val="16"/>
                <w:lang w:eastAsia="sl-SI"/>
              </w:rPr>
            </w:pPr>
            <w:r w:rsidRPr="00E814FE">
              <w:rPr>
                <w:rFonts w:cs="Arial"/>
                <w:bCs/>
                <w:sz w:val="16"/>
                <w:szCs w:val="16"/>
                <w:lang w:eastAsia="de-DE"/>
              </w:rPr>
              <w:t>Measures involve a transfer of public sources (European, national, regional, local, other).</w:t>
            </w:r>
          </w:p>
        </w:tc>
        <w:tc>
          <w:tcPr>
            <w:tcW w:w="1578" w:type="dxa"/>
            <w:shd w:val="clear" w:color="auto" w:fill="auto"/>
            <w:vAlign w:val="center"/>
          </w:tcPr>
          <w:p w:rsidR="00042E53" w:rsidRPr="00E814FE" w:rsidRDefault="00042E53" w:rsidP="00E70293">
            <w:pPr>
              <w:spacing w:after="0" w:line="240" w:lineRule="auto"/>
              <w:rPr>
                <w:rFonts w:cs="Arial"/>
                <w:bCs/>
                <w:lang w:eastAsia="sl-SI"/>
              </w:rPr>
            </w:pPr>
          </w:p>
        </w:tc>
        <w:tc>
          <w:tcPr>
            <w:tcW w:w="3734" w:type="dxa"/>
            <w:shd w:val="clear" w:color="auto" w:fill="auto"/>
            <w:vAlign w:val="center"/>
          </w:tcPr>
          <w:p w:rsidR="00042E53" w:rsidRPr="00E814FE" w:rsidRDefault="00042E53">
            <w:pPr>
              <w:spacing w:after="0" w:line="240" w:lineRule="auto"/>
              <w:rPr>
                <w:rFonts w:cs="Arial"/>
                <w:bCs/>
                <w:lang w:eastAsia="sl-SI"/>
              </w:rPr>
            </w:pPr>
          </w:p>
        </w:tc>
      </w:tr>
      <w:tr w:rsidR="00042E53" w:rsidRPr="00E814FE" w:rsidTr="0065702E">
        <w:tblPrEx>
          <w:tblCellMar>
            <w:top w:w="0" w:type="dxa"/>
            <w:bottom w:w="0" w:type="dxa"/>
          </w:tblCellMar>
        </w:tblPrEx>
        <w:tc>
          <w:tcPr>
            <w:tcW w:w="3418" w:type="dxa"/>
            <w:shd w:val="clear" w:color="auto" w:fill="B8CCE4"/>
          </w:tcPr>
          <w:p w:rsidR="00042E53" w:rsidRPr="0065702E" w:rsidRDefault="00042E53" w:rsidP="0065702E">
            <w:pPr>
              <w:pStyle w:val="Tblzatszveg"/>
              <w:rPr>
                <w:b/>
                <w:lang w:eastAsia="en-US"/>
              </w:rPr>
            </w:pPr>
            <w:r w:rsidRPr="0065702E">
              <w:rPr>
                <w:b/>
                <w:lang w:eastAsia="en-US"/>
              </w:rPr>
              <w:t>2.) Advantage on a selective basis</w:t>
            </w:r>
          </w:p>
          <w:p w:rsidR="00042E53" w:rsidRPr="00E814FE" w:rsidRDefault="00042E53" w:rsidP="006F2FBA">
            <w:pPr>
              <w:pStyle w:val="Tblzatszveg"/>
              <w:jc w:val="left"/>
              <w:rPr>
                <w:bCs/>
                <w:sz w:val="16"/>
                <w:szCs w:val="16"/>
                <w:lang w:eastAsia="de-DE"/>
              </w:rPr>
            </w:pPr>
            <w:r w:rsidRPr="00E814FE">
              <w:rPr>
                <w:bCs/>
                <w:sz w:val="16"/>
                <w:szCs w:val="16"/>
                <w:lang w:eastAsia="de-DE"/>
              </w:rPr>
              <w:t xml:space="preserve">The aid constitutes an economic advantage that the undertaking would not have received in the normal course of business, and applied selectively. </w:t>
            </w:r>
          </w:p>
          <w:p w:rsidR="00042E53" w:rsidRPr="00E814FE" w:rsidRDefault="00042E53" w:rsidP="0065702E">
            <w:pPr>
              <w:pStyle w:val="Tblzatszveg"/>
              <w:rPr>
                <w:bCs/>
                <w:sz w:val="16"/>
                <w:szCs w:val="16"/>
                <w:lang w:eastAsia="de-DE"/>
              </w:rPr>
            </w:pPr>
          </w:p>
          <w:p w:rsidR="00E814FE" w:rsidRPr="0065702E" w:rsidRDefault="00042E53" w:rsidP="006F2FBA">
            <w:pPr>
              <w:pStyle w:val="Tblzatszveg"/>
              <w:jc w:val="left"/>
              <w:rPr>
                <w:bCs/>
                <w:sz w:val="16"/>
                <w:szCs w:val="16"/>
                <w:lang w:eastAsia="de-DE"/>
              </w:rPr>
            </w:pPr>
            <w:r w:rsidRPr="00E814FE">
              <w:rPr>
                <w:bCs/>
                <w:sz w:val="16"/>
                <w:szCs w:val="16"/>
                <w:lang w:eastAsia="de-DE"/>
              </w:rPr>
              <w:t>The selectivity criterion is also satisfied if the scheme applies to only part of the territory of a Member State (this is the case for all regional and sectorial aid schemes).</w:t>
            </w:r>
          </w:p>
        </w:tc>
        <w:tc>
          <w:tcPr>
            <w:tcW w:w="1578" w:type="dxa"/>
            <w:shd w:val="clear" w:color="auto" w:fill="auto"/>
            <w:vAlign w:val="center"/>
          </w:tcPr>
          <w:p w:rsidR="00042E53" w:rsidRPr="00E814FE" w:rsidRDefault="00042E53" w:rsidP="00E70293">
            <w:pPr>
              <w:spacing w:after="0" w:line="240" w:lineRule="auto"/>
              <w:rPr>
                <w:rFonts w:cs="Arial"/>
                <w:bCs/>
                <w:lang w:eastAsia="sl-SI"/>
              </w:rPr>
            </w:pPr>
          </w:p>
        </w:tc>
        <w:tc>
          <w:tcPr>
            <w:tcW w:w="3734" w:type="dxa"/>
            <w:shd w:val="clear" w:color="auto" w:fill="auto"/>
            <w:vAlign w:val="center"/>
          </w:tcPr>
          <w:p w:rsidR="00042E53" w:rsidRPr="00E814FE" w:rsidRDefault="00042E53">
            <w:pPr>
              <w:spacing w:after="0" w:line="240" w:lineRule="auto"/>
              <w:rPr>
                <w:rFonts w:cs="Arial"/>
                <w:bCs/>
                <w:lang w:eastAsia="sl-SI"/>
              </w:rPr>
            </w:pPr>
          </w:p>
        </w:tc>
      </w:tr>
      <w:tr w:rsidR="00042E53" w:rsidRPr="00E814FE" w:rsidTr="0065702E">
        <w:tblPrEx>
          <w:tblCellMar>
            <w:top w:w="0" w:type="dxa"/>
            <w:bottom w:w="0" w:type="dxa"/>
          </w:tblCellMar>
        </w:tblPrEx>
        <w:tc>
          <w:tcPr>
            <w:tcW w:w="3418" w:type="dxa"/>
            <w:shd w:val="clear" w:color="auto" w:fill="B8CCE4"/>
          </w:tcPr>
          <w:p w:rsidR="00042E53" w:rsidRPr="0065702E" w:rsidRDefault="00042E53" w:rsidP="0065702E">
            <w:pPr>
              <w:pStyle w:val="Tblzatszveg"/>
              <w:rPr>
                <w:b/>
                <w:bCs/>
                <w:lang w:eastAsia="en-US"/>
              </w:rPr>
            </w:pPr>
            <w:r w:rsidRPr="0065702E">
              <w:rPr>
                <w:b/>
                <w:bCs/>
                <w:lang w:eastAsia="en-US"/>
              </w:rPr>
              <w:t>3.) Competition may be distorted</w:t>
            </w:r>
          </w:p>
          <w:p w:rsidR="00E814FE" w:rsidRPr="0065702E" w:rsidRDefault="00042E53" w:rsidP="006F2FBA">
            <w:pPr>
              <w:pStyle w:val="Tblzatszveg"/>
              <w:jc w:val="left"/>
              <w:rPr>
                <w:bCs/>
                <w:sz w:val="16"/>
                <w:szCs w:val="16"/>
                <w:lang w:eastAsia="de-DE"/>
              </w:rPr>
            </w:pPr>
            <w:r w:rsidRPr="00E814FE">
              <w:rPr>
                <w:bCs/>
                <w:sz w:val="16"/>
                <w:szCs w:val="16"/>
                <w:lang w:eastAsia="de-DE"/>
              </w:rPr>
              <w:t>A distortion of competition is assumed as soon as the State grants a financial advantage to an undertaking in a liberalised sector where there is, or could be, competition.</w:t>
            </w:r>
          </w:p>
        </w:tc>
        <w:tc>
          <w:tcPr>
            <w:tcW w:w="1578" w:type="dxa"/>
            <w:vAlign w:val="center"/>
          </w:tcPr>
          <w:p w:rsidR="00042E53" w:rsidRPr="00E814FE" w:rsidRDefault="00042E53" w:rsidP="00E70293">
            <w:pPr>
              <w:spacing w:after="0" w:line="240" w:lineRule="auto"/>
              <w:rPr>
                <w:rFonts w:cs="Arial"/>
                <w:bCs/>
                <w:lang w:eastAsia="sl-SI"/>
              </w:rPr>
            </w:pPr>
          </w:p>
        </w:tc>
        <w:tc>
          <w:tcPr>
            <w:tcW w:w="3734" w:type="dxa"/>
            <w:vAlign w:val="center"/>
          </w:tcPr>
          <w:p w:rsidR="00042E53" w:rsidRPr="00E814FE" w:rsidRDefault="00042E53">
            <w:pPr>
              <w:spacing w:after="0" w:line="240" w:lineRule="auto"/>
              <w:rPr>
                <w:rFonts w:cs="Arial"/>
                <w:bCs/>
                <w:lang w:eastAsia="sl-SI"/>
              </w:rPr>
            </w:pPr>
          </w:p>
        </w:tc>
      </w:tr>
      <w:tr w:rsidR="00042E53" w:rsidRPr="00E814FE" w:rsidTr="0065702E">
        <w:tblPrEx>
          <w:tblCellMar>
            <w:top w:w="0" w:type="dxa"/>
            <w:bottom w:w="0" w:type="dxa"/>
          </w:tblCellMar>
        </w:tblPrEx>
        <w:tc>
          <w:tcPr>
            <w:tcW w:w="3418" w:type="dxa"/>
            <w:shd w:val="clear" w:color="auto" w:fill="B8CCE4"/>
          </w:tcPr>
          <w:p w:rsidR="00042E53" w:rsidRPr="0065702E" w:rsidRDefault="00042E53" w:rsidP="0065702E">
            <w:pPr>
              <w:pStyle w:val="Tblzatszveg"/>
              <w:rPr>
                <w:b/>
                <w:bCs/>
                <w:lang w:eastAsia="en-US"/>
              </w:rPr>
            </w:pPr>
            <w:r w:rsidRPr="0065702E">
              <w:rPr>
                <w:b/>
                <w:bCs/>
                <w:lang w:eastAsia="en-US"/>
              </w:rPr>
              <w:t>4.) Effect on trade</w:t>
            </w:r>
          </w:p>
          <w:p w:rsidR="00E814FE" w:rsidRPr="0065702E" w:rsidRDefault="00042E53" w:rsidP="006F2FBA">
            <w:pPr>
              <w:pStyle w:val="Tblzatszveg"/>
              <w:jc w:val="left"/>
              <w:rPr>
                <w:bCs/>
                <w:sz w:val="16"/>
                <w:szCs w:val="16"/>
                <w:lang w:eastAsia="de-DE"/>
              </w:rPr>
            </w:pPr>
            <w:r w:rsidRPr="00E814FE">
              <w:rPr>
                <w:bCs/>
                <w:sz w:val="16"/>
                <w:szCs w:val="16"/>
                <w:lang w:eastAsia="de-DE"/>
              </w:rPr>
              <w:t>Aid must have a potential effect on trade between Member States.</w:t>
            </w:r>
          </w:p>
        </w:tc>
        <w:tc>
          <w:tcPr>
            <w:tcW w:w="1578" w:type="dxa"/>
            <w:vAlign w:val="center"/>
          </w:tcPr>
          <w:p w:rsidR="00042E53" w:rsidRPr="00E814FE" w:rsidRDefault="00042E53" w:rsidP="00E70293">
            <w:pPr>
              <w:spacing w:after="0" w:line="240" w:lineRule="auto"/>
              <w:rPr>
                <w:rFonts w:cs="Arial"/>
                <w:bCs/>
                <w:lang w:eastAsia="sl-SI"/>
              </w:rPr>
            </w:pPr>
          </w:p>
        </w:tc>
        <w:tc>
          <w:tcPr>
            <w:tcW w:w="3734" w:type="dxa"/>
            <w:vAlign w:val="center"/>
          </w:tcPr>
          <w:p w:rsidR="00042E53" w:rsidRPr="00E814FE" w:rsidRDefault="00042E53">
            <w:pPr>
              <w:spacing w:after="0" w:line="240" w:lineRule="auto"/>
              <w:rPr>
                <w:rFonts w:cs="Arial"/>
                <w:bCs/>
                <w:lang w:eastAsia="sl-SI"/>
              </w:rPr>
            </w:pPr>
          </w:p>
        </w:tc>
      </w:tr>
    </w:tbl>
    <w:p w:rsidR="00042E53" w:rsidRPr="00E814FE" w:rsidRDefault="00042E53" w:rsidP="00042E53">
      <w:pPr>
        <w:autoSpaceDE w:val="0"/>
        <w:autoSpaceDN w:val="0"/>
        <w:adjustRightInd w:val="0"/>
        <w:spacing w:after="0" w:line="240" w:lineRule="auto"/>
        <w:ind w:right="-900"/>
        <w:rPr>
          <w:rFonts w:cs="Arial"/>
          <w:i/>
          <w:lang w:eastAsia="en-US"/>
        </w:rPr>
      </w:pPr>
    </w:p>
    <w:tbl>
      <w:tblPr>
        <w:tblW w:w="87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5400"/>
      </w:tblGrid>
      <w:tr w:rsidR="00042E53" w:rsidRPr="00E814FE" w:rsidTr="0065702E">
        <w:trPr>
          <w:trHeight w:val="402"/>
        </w:trPr>
        <w:tc>
          <w:tcPr>
            <w:tcW w:w="8730" w:type="dxa"/>
            <w:gridSpan w:val="2"/>
            <w:shd w:val="clear" w:color="auto" w:fill="B8CCE4"/>
            <w:vAlign w:val="center"/>
          </w:tcPr>
          <w:p w:rsidR="00042E53" w:rsidRPr="0065702E" w:rsidRDefault="00042E53" w:rsidP="0065702E">
            <w:pPr>
              <w:pStyle w:val="Tblzatszveg"/>
              <w:jc w:val="left"/>
              <w:rPr>
                <w:b/>
              </w:rPr>
            </w:pPr>
            <w:r w:rsidRPr="0065702E">
              <w:rPr>
                <w:b/>
              </w:rPr>
              <w:t>Result</w:t>
            </w:r>
          </w:p>
        </w:tc>
      </w:tr>
      <w:tr w:rsidR="00042E53" w:rsidRPr="00E814FE" w:rsidTr="0065702E">
        <w:trPr>
          <w:trHeight w:val="717"/>
        </w:trPr>
        <w:tc>
          <w:tcPr>
            <w:tcW w:w="3330" w:type="dxa"/>
            <w:shd w:val="clear" w:color="auto" w:fill="B8CCE4"/>
            <w:vAlign w:val="center"/>
          </w:tcPr>
          <w:p w:rsidR="00042E53" w:rsidRPr="0065702E" w:rsidRDefault="00042E53" w:rsidP="0065702E">
            <w:pPr>
              <w:pStyle w:val="Tblzatszveg"/>
              <w:jc w:val="left"/>
            </w:pPr>
            <w:r w:rsidRPr="0065702E">
              <w:t>Support to be received is state aid relevant (ex-ante estimate):</w:t>
            </w:r>
          </w:p>
        </w:tc>
        <w:tc>
          <w:tcPr>
            <w:tcW w:w="5400" w:type="dxa"/>
            <w:vAlign w:val="center"/>
          </w:tcPr>
          <w:p w:rsidR="00042E53" w:rsidRPr="0065702E" w:rsidRDefault="00042E53" w:rsidP="0065702E">
            <w:pPr>
              <w:pStyle w:val="Tblzatszveg"/>
              <w:jc w:val="left"/>
            </w:pPr>
            <w:r w:rsidRPr="0065702E">
              <w:t>YES</w:t>
            </w:r>
            <w:r w:rsidR="009D6A5D" w:rsidRPr="0065702E">
              <w:t>/NO</w:t>
            </w:r>
          </w:p>
        </w:tc>
      </w:tr>
      <w:tr w:rsidR="00042E53" w:rsidRPr="00E814FE" w:rsidTr="0065702E">
        <w:trPr>
          <w:trHeight w:val="764"/>
        </w:trPr>
        <w:tc>
          <w:tcPr>
            <w:tcW w:w="3330" w:type="dxa"/>
            <w:shd w:val="clear" w:color="auto" w:fill="B8CCE4"/>
            <w:vAlign w:val="center"/>
          </w:tcPr>
          <w:p w:rsidR="00042E53" w:rsidRPr="0065702E" w:rsidRDefault="00042E53" w:rsidP="0065702E">
            <w:pPr>
              <w:pStyle w:val="Tblzatszveg"/>
              <w:jc w:val="left"/>
            </w:pPr>
            <w:r w:rsidRPr="0065702E">
              <w:t>If yes, please specify the activities concerned and cost per activities:</w:t>
            </w:r>
          </w:p>
        </w:tc>
        <w:tc>
          <w:tcPr>
            <w:tcW w:w="5400" w:type="dxa"/>
            <w:vAlign w:val="center"/>
          </w:tcPr>
          <w:p w:rsidR="00042E53" w:rsidRPr="0065702E" w:rsidRDefault="00042E53" w:rsidP="0065702E">
            <w:pPr>
              <w:pStyle w:val="Tblzatszveg"/>
              <w:jc w:val="left"/>
            </w:pPr>
          </w:p>
        </w:tc>
      </w:tr>
      <w:tr w:rsidR="00042E53" w:rsidRPr="00E814FE" w:rsidTr="0065702E">
        <w:trPr>
          <w:trHeight w:val="710"/>
        </w:trPr>
        <w:tc>
          <w:tcPr>
            <w:tcW w:w="3330" w:type="dxa"/>
            <w:shd w:val="clear" w:color="auto" w:fill="B8CCE4"/>
            <w:vAlign w:val="center"/>
          </w:tcPr>
          <w:p w:rsidR="00042E53" w:rsidRPr="0065702E" w:rsidRDefault="00042E53" w:rsidP="0065702E">
            <w:pPr>
              <w:pStyle w:val="Tblzatszveg"/>
              <w:jc w:val="left"/>
            </w:pPr>
            <w:r w:rsidRPr="0065702E">
              <w:t>Further comments or suggestions:</w:t>
            </w:r>
          </w:p>
        </w:tc>
        <w:tc>
          <w:tcPr>
            <w:tcW w:w="5400" w:type="dxa"/>
            <w:vAlign w:val="center"/>
          </w:tcPr>
          <w:p w:rsidR="00042E53" w:rsidRPr="0065702E" w:rsidRDefault="00042E53" w:rsidP="0065702E">
            <w:pPr>
              <w:pStyle w:val="Tblzatszveg"/>
              <w:jc w:val="left"/>
            </w:pPr>
          </w:p>
        </w:tc>
      </w:tr>
    </w:tbl>
    <w:p w:rsidR="009D6A5D" w:rsidRPr="00E814FE" w:rsidRDefault="009D6A5D" w:rsidP="009D6A5D">
      <w:pPr>
        <w:pStyle w:val="Heading3"/>
        <w:rPr>
          <w:rFonts w:ascii="Arial" w:hAnsi="Arial" w:cs="Arial"/>
        </w:rPr>
      </w:pPr>
      <w:r w:rsidRPr="00E814FE">
        <w:rPr>
          <w:rFonts w:ascii="Arial" w:hAnsi="Arial" w:cs="Arial"/>
        </w:rPr>
        <w:t xml:space="preserve">Signature of statutory (or authorized) representative (and stamp) </w:t>
      </w:r>
    </w:p>
    <w:tbl>
      <w:tblPr>
        <w:tblStyle w:val="TableGrid"/>
        <w:tblW w:w="0" w:type="auto"/>
        <w:tblLook w:val="04A0" w:firstRow="1" w:lastRow="0" w:firstColumn="1" w:lastColumn="0" w:noHBand="0" w:noVBand="1"/>
      </w:tblPr>
      <w:tblGrid>
        <w:gridCol w:w="9211"/>
      </w:tblGrid>
      <w:tr w:rsidR="009D6A5D" w:rsidRPr="00E814FE" w:rsidTr="00C23ACC">
        <w:trPr>
          <w:trHeight w:val="1417"/>
        </w:trPr>
        <w:tc>
          <w:tcPr>
            <w:tcW w:w="9211" w:type="dxa"/>
            <w:tcBorders>
              <w:top w:val="single" w:sz="24" w:space="0" w:color="auto"/>
              <w:left w:val="single" w:sz="24" w:space="0" w:color="auto"/>
              <w:bottom w:val="single" w:sz="24" w:space="0" w:color="auto"/>
              <w:right w:val="single" w:sz="24" w:space="0" w:color="auto"/>
            </w:tcBorders>
            <w:vAlign w:val="center"/>
          </w:tcPr>
          <w:p w:rsidR="009D6A5D" w:rsidRPr="00E814FE" w:rsidRDefault="009D6A5D" w:rsidP="00C23ACC">
            <w:pPr>
              <w:pStyle w:val="Tblzatszveg"/>
              <w:rPr>
                <w:rFonts w:cs="Arial"/>
                <w:b/>
              </w:rPr>
            </w:pPr>
            <w:r w:rsidRPr="00E814FE">
              <w:rPr>
                <w:rFonts w:cs="Arial"/>
                <w:b/>
              </w:rPr>
              <w:t xml:space="preserve">Sign (and stamp) of the </w:t>
            </w:r>
            <w:r w:rsidR="006C16E7">
              <w:rPr>
                <w:rFonts w:cs="Arial"/>
                <w:b/>
              </w:rPr>
              <w:t>P</w:t>
            </w:r>
            <w:r w:rsidRPr="00E814FE">
              <w:rPr>
                <w:rFonts w:cs="Arial"/>
                <w:b/>
              </w:rPr>
              <w:t xml:space="preserve">roject partner: </w:t>
            </w:r>
          </w:p>
          <w:p w:rsidR="009D6A5D" w:rsidRPr="00E814FE" w:rsidRDefault="009D6A5D" w:rsidP="00C23ACC">
            <w:pPr>
              <w:pStyle w:val="Tblzatszveg"/>
              <w:rPr>
                <w:rFonts w:cs="Arial"/>
              </w:rPr>
            </w:pPr>
          </w:p>
          <w:p w:rsidR="009D6A5D" w:rsidRPr="00E814FE" w:rsidRDefault="009D6A5D" w:rsidP="00C23ACC">
            <w:pPr>
              <w:pStyle w:val="Tblzatszveg"/>
              <w:rPr>
                <w:rFonts w:cs="Arial"/>
              </w:rPr>
            </w:pPr>
          </w:p>
          <w:p w:rsidR="009D6A5D" w:rsidRPr="00E814FE" w:rsidRDefault="009D6A5D" w:rsidP="00C23ACC">
            <w:pPr>
              <w:pStyle w:val="Tblzatszveg"/>
              <w:rPr>
                <w:rFonts w:cs="Arial"/>
                <w:b/>
              </w:rPr>
            </w:pPr>
            <w:r w:rsidRPr="00E814FE">
              <w:rPr>
                <w:rFonts w:cs="Arial"/>
                <w:b/>
              </w:rPr>
              <w:t>Place and date</w:t>
            </w:r>
            <w:r w:rsidRPr="00E814FE">
              <w:rPr>
                <w:rFonts w:cs="Arial"/>
              </w:rPr>
              <w:t>:</w:t>
            </w:r>
          </w:p>
        </w:tc>
      </w:tr>
    </w:tbl>
    <w:p w:rsidR="006F2FBA" w:rsidRDefault="006F2FBA" w:rsidP="006F2FBA">
      <w:pPr>
        <w:rPr>
          <w:lang w:val="sk-SK"/>
        </w:rPr>
      </w:pPr>
      <w:r>
        <w:rPr>
          <w:lang w:val="sk-SK"/>
        </w:rPr>
        <w:br w:type="page"/>
      </w:r>
    </w:p>
    <w:p w:rsidR="0065702E" w:rsidRDefault="0065702E" w:rsidP="0065702E">
      <w:pPr>
        <w:pStyle w:val="Heading1"/>
        <w:rPr>
          <w:rFonts w:eastAsia="Times New Roman"/>
        </w:rPr>
      </w:pPr>
      <w:r w:rsidRPr="00E94E2A">
        <w:rPr>
          <w:rFonts w:eastAsia="Times New Roman"/>
        </w:rPr>
        <w:lastRenderedPageBreak/>
        <w:t>State aid guide</w:t>
      </w:r>
    </w:p>
    <w:p w:rsidR="0065702E" w:rsidRPr="0065702E" w:rsidRDefault="0065702E" w:rsidP="0065702E">
      <w:pPr>
        <w:rPr>
          <w:i/>
        </w:rPr>
      </w:pPr>
      <w:r w:rsidRPr="0065702E">
        <w:rPr>
          <w:i/>
        </w:rPr>
        <w:t>Fill and print only the Declaration part of the document.</w:t>
      </w:r>
      <w:r w:rsidR="006F2FBA">
        <w:rPr>
          <w:i/>
        </w:rPr>
        <w:t xml:space="preserve"> Please read </w:t>
      </w:r>
      <w:proofErr w:type="gramStart"/>
      <w:r w:rsidR="006F2FBA">
        <w:rPr>
          <w:i/>
        </w:rPr>
        <w:t>this part also check</w:t>
      </w:r>
      <w:proofErr w:type="gramEnd"/>
      <w:r w:rsidR="006F2FBA">
        <w:rPr>
          <w:i/>
        </w:rPr>
        <w:t xml:space="preserve"> the FAQ section of the Programme website in order to fill the declaration correctly.</w:t>
      </w:r>
    </w:p>
    <w:p w:rsidR="0065702E" w:rsidRPr="00E94E2A" w:rsidRDefault="0065702E" w:rsidP="0065702E">
      <w:pPr>
        <w:pStyle w:val="Heading2"/>
        <w:spacing w:before="120"/>
        <w:rPr>
          <w:rFonts w:ascii="Arial" w:eastAsia="Times New Roman" w:hAnsi="Arial" w:cs="Arial"/>
        </w:rPr>
      </w:pPr>
      <w:r w:rsidRPr="00E94E2A">
        <w:rPr>
          <w:rFonts w:ascii="Arial" w:eastAsia="Times New Roman" w:hAnsi="Arial" w:cs="Arial"/>
        </w:rPr>
        <w:t xml:space="preserve">PART A: Introduction </w:t>
      </w:r>
    </w:p>
    <w:p w:rsidR="0065702E" w:rsidRPr="00E94E2A" w:rsidRDefault="0065702E" w:rsidP="0065702E">
      <w:r w:rsidRPr="00E94E2A">
        <w:t xml:space="preserve">To be in line with the EU legislation this document was elaborated based on the rules of </w:t>
      </w:r>
      <w:proofErr w:type="spellStart"/>
      <w:r w:rsidRPr="00E94E2A">
        <w:t>Comission</w:t>
      </w:r>
      <w:proofErr w:type="spellEnd"/>
      <w:r w:rsidRPr="00E94E2A">
        <w:t xml:space="preserve"> Regulation (EU) No 651/2014, Commission Regulation (EU) No 1407/2013, 44/2016. </w:t>
      </w:r>
      <w:proofErr w:type="gramStart"/>
      <w:r w:rsidRPr="00E94E2A">
        <w:t>(III. 10.)</w:t>
      </w:r>
      <w:proofErr w:type="gramEnd"/>
      <w:r w:rsidRPr="00E94E2A">
        <w:t xml:space="preserve"> Gov. Decree on state aid rules of ETC programmes State aid is an EC term for any public resource given selectively to undertakings engaged in economic activity that could potentially affect competition and trade between Member States. State aid can distort the market, which can result in lower competitiveness for business, less innovation or higher prices for consumers. The overall aim of the State aid rules is therefore to maintain a level playing field for free and fair competition in the market. State aid control is therefore an essential part of competition policy to ensure effective competition and free trade. This means that State aid must be awarded in line with the rules. </w:t>
      </w:r>
    </w:p>
    <w:p w:rsidR="0065702E" w:rsidRPr="00E94E2A" w:rsidRDefault="0065702E" w:rsidP="0065702E">
      <w:r w:rsidRPr="00E94E2A">
        <w:t>In the Interreg V-A Slovakia-Hungary Cooperation Programme the Project partners have to fill in a Declaration on State aid and attach to and submit with the Application form to the Joint Secretariat. This declaration means the base for examination the relevance of State aid to the project concerned.</w:t>
      </w:r>
    </w:p>
    <w:p w:rsidR="0065702E" w:rsidRPr="00E94E2A" w:rsidRDefault="0065702E" w:rsidP="0065702E">
      <w:pPr>
        <w:pStyle w:val="Heading3"/>
        <w:rPr>
          <w:rFonts w:eastAsia="Times New Roman"/>
        </w:rPr>
      </w:pPr>
      <w:r w:rsidRPr="00E94E2A">
        <w:rPr>
          <w:rFonts w:eastAsia="Times New Roman"/>
        </w:rPr>
        <w:t>The legislative base</w:t>
      </w:r>
    </w:p>
    <w:p w:rsidR="0065702E" w:rsidRPr="00E94E2A" w:rsidRDefault="0065702E" w:rsidP="006F2FBA">
      <w:pPr>
        <w:pStyle w:val="ListParagraph"/>
        <w:numPr>
          <w:ilvl w:val="0"/>
          <w:numId w:val="23"/>
        </w:numPr>
      </w:pPr>
      <w:r w:rsidRPr="006F2FBA">
        <w:rPr>
          <w:i/>
        </w:rPr>
        <w:t xml:space="preserve">Article 107 </w:t>
      </w:r>
      <w:r w:rsidRPr="00E94E2A">
        <w:t>of the Treaty on the Functioning of the European Union (TFEU) declares that aid granted through state resources in any form which could distort competition and affect trade by favouring certain undertakings or the production of certain goods is incompatible with the common market unless the Treaty allows otherwise.</w:t>
      </w:r>
    </w:p>
    <w:p w:rsidR="0065702E" w:rsidRPr="00E94E2A" w:rsidRDefault="0065702E" w:rsidP="006F2FBA">
      <w:pPr>
        <w:pStyle w:val="ListParagraph"/>
        <w:numPr>
          <w:ilvl w:val="0"/>
          <w:numId w:val="23"/>
        </w:numPr>
      </w:pPr>
      <w:r w:rsidRPr="00E94E2A">
        <w:t xml:space="preserve">The obligation to gain the Commission’s approval for aid measures in advance of granting them arises from </w:t>
      </w:r>
      <w:r w:rsidRPr="006F2FBA">
        <w:rPr>
          <w:i/>
        </w:rPr>
        <w:t>Article 108</w:t>
      </w:r>
      <w:r w:rsidRPr="00E94E2A">
        <w:t xml:space="preserve"> which states that it is each Member State’s responsibility to inform the Commission of planned aid measures in advance and to allow sufficient time for the Commission to comment. Article 108 also requires each Member State not to implement proposed aid measures until it has received a final decision from the Commission.</w:t>
      </w:r>
    </w:p>
    <w:p w:rsidR="0065702E" w:rsidRPr="00E94E2A" w:rsidRDefault="0065702E" w:rsidP="006F2FBA">
      <w:pPr>
        <w:pStyle w:val="ListParagraph"/>
        <w:numPr>
          <w:ilvl w:val="0"/>
          <w:numId w:val="23"/>
        </w:numPr>
      </w:pPr>
      <w:r w:rsidRPr="00E94E2A">
        <w:t xml:space="preserve">Communication from the </w:t>
      </w:r>
      <w:proofErr w:type="spellStart"/>
      <w:r w:rsidRPr="00E94E2A">
        <w:t>Comission</w:t>
      </w:r>
      <w:proofErr w:type="spellEnd"/>
      <w:r w:rsidRPr="00E94E2A">
        <w:t>: Commission Notice on the notion of State aid pursuant to Article 107(1) TFEU</w:t>
      </w:r>
    </w:p>
    <w:p w:rsidR="0065702E" w:rsidRPr="00E94E2A" w:rsidRDefault="0065702E" w:rsidP="006F2FBA">
      <w:pPr>
        <w:pStyle w:val="ListParagraph"/>
        <w:numPr>
          <w:ilvl w:val="0"/>
          <w:numId w:val="23"/>
        </w:numPr>
      </w:pPr>
      <w:r w:rsidRPr="006F2FBA">
        <w:rPr>
          <w:bCs/>
        </w:rPr>
        <w:t xml:space="preserve">General Block Exemption Regulation </w:t>
      </w:r>
      <w:r w:rsidRPr="00E94E2A">
        <w:t>(GBER) (</w:t>
      </w:r>
      <w:proofErr w:type="spellStart"/>
      <w:r w:rsidRPr="00E94E2A">
        <w:t>Comission</w:t>
      </w:r>
      <w:proofErr w:type="spellEnd"/>
      <w:r w:rsidRPr="00E94E2A">
        <w:t xml:space="preserve"> Regulation (EU) No 651/2014) is a framework that declares specific categories of aid to be compatible with the Treaty if they fulfil certain conditions.</w:t>
      </w:r>
    </w:p>
    <w:p w:rsidR="0065702E" w:rsidRPr="00E94E2A" w:rsidRDefault="0065702E" w:rsidP="006F2FBA">
      <w:pPr>
        <w:pStyle w:val="ListParagraph"/>
        <w:numPr>
          <w:ilvl w:val="0"/>
          <w:numId w:val="23"/>
        </w:numPr>
      </w:pPr>
      <w:r w:rsidRPr="00E94E2A">
        <w:t>De minimis Regulation (Commission Regulation (EU) No 1407/2013) declares that aid of up to €200,000 over 3 years doesn’t distort trade between Member States.</w:t>
      </w:r>
    </w:p>
    <w:p w:rsidR="006F2FBA" w:rsidRDefault="006F2FBA">
      <w:pPr>
        <w:spacing w:after="0" w:line="240" w:lineRule="auto"/>
        <w:jc w:val="left"/>
        <w:rPr>
          <w:rFonts w:cs="Arial"/>
          <w:b/>
          <w:bCs/>
          <w:color w:val="7F7F7F" w:themeColor="text1" w:themeTint="80"/>
          <w:sz w:val="26"/>
          <w:szCs w:val="26"/>
        </w:rPr>
      </w:pPr>
      <w:r>
        <w:rPr>
          <w:rFonts w:cs="Arial"/>
        </w:rPr>
        <w:br w:type="page"/>
      </w:r>
    </w:p>
    <w:p w:rsidR="0065702E" w:rsidRPr="00E94E2A" w:rsidRDefault="0065702E" w:rsidP="0065702E">
      <w:pPr>
        <w:pStyle w:val="Heading2"/>
        <w:spacing w:before="120"/>
        <w:rPr>
          <w:rFonts w:ascii="Arial" w:eastAsia="Times New Roman" w:hAnsi="Arial" w:cs="Arial"/>
        </w:rPr>
      </w:pPr>
      <w:r w:rsidRPr="00E94E2A">
        <w:rPr>
          <w:rFonts w:ascii="Arial" w:eastAsia="Times New Roman" w:hAnsi="Arial" w:cs="Arial"/>
        </w:rPr>
        <w:lastRenderedPageBreak/>
        <w:t>PART B: What is State aid?</w:t>
      </w:r>
    </w:p>
    <w:p w:rsidR="0065702E" w:rsidRPr="00E94E2A" w:rsidRDefault="0065702E" w:rsidP="006F2FBA">
      <w:pPr>
        <w:rPr>
          <w:rFonts w:eastAsiaTheme="minorHAnsi"/>
          <w:b/>
          <w:bCs/>
        </w:rPr>
      </w:pPr>
      <w:r w:rsidRPr="006F2FBA">
        <w:rPr>
          <w:rFonts w:eastAsiaTheme="minorHAnsi"/>
          <w:b/>
        </w:rPr>
        <w:t>State aid is defined as an advantage in any form whatsoever conferred on a selective basis to undertakings by national public authorities.</w:t>
      </w:r>
      <w:r w:rsidRPr="00E94E2A">
        <w:rPr>
          <w:rFonts w:eastAsiaTheme="minorHAnsi"/>
        </w:rPr>
        <w:t xml:space="preserve"> Therefore, subsidies granted to individuals or general measures open to all enterprises are not covered by this prohibition and do not constitute State aid. There are four key features or questions which need to be considered in order to establish whether a measure constitutes State aid. These features are cumulative and all four must be met for State aid to be present. Furthermore based on Article 107(1) TFEU, the State aid rules generally only apply where the recipient of an aid is an “undertaking”.</w:t>
      </w:r>
    </w:p>
    <w:p w:rsidR="0065702E" w:rsidRPr="00E94E2A" w:rsidRDefault="0065702E" w:rsidP="006F2FBA">
      <w:r w:rsidRPr="00E94E2A">
        <w:t>Before the State aid tests can be applied it is necessary to determine whether the following two aspects are present:</w:t>
      </w:r>
    </w:p>
    <w:p w:rsidR="0065702E" w:rsidRPr="00E94E2A" w:rsidRDefault="0065702E" w:rsidP="0065702E">
      <w:pPr>
        <w:pStyle w:val="ListParagraph"/>
        <w:numPr>
          <w:ilvl w:val="0"/>
          <w:numId w:val="10"/>
        </w:numPr>
        <w:spacing w:before="120" w:after="120" w:line="276" w:lineRule="auto"/>
        <w:rPr>
          <w:rFonts w:cs="Arial"/>
          <w:lang w:eastAsia="hu-HU"/>
        </w:rPr>
      </w:pPr>
      <w:r w:rsidRPr="00E94E2A">
        <w:rPr>
          <w:rFonts w:cs="Arial"/>
          <w:b/>
          <w:bCs/>
          <w:lang w:eastAsia="hu-HU"/>
        </w:rPr>
        <w:t xml:space="preserve">Is the beneficiary an 'undertaking'? </w:t>
      </w:r>
      <w:r w:rsidRPr="00E94E2A">
        <w:rPr>
          <w:rFonts w:cs="Arial"/>
          <w:lang w:eastAsia="hu-HU"/>
        </w:rPr>
        <w:t xml:space="preserve">An undertaking is defined as an entity engaged in an </w:t>
      </w:r>
      <w:r w:rsidRPr="00E94E2A">
        <w:rPr>
          <w:rFonts w:cs="Arial"/>
          <w:i/>
          <w:lang w:eastAsia="hu-HU"/>
        </w:rPr>
        <w:t>economic activity</w:t>
      </w:r>
      <w:r w:rsidRPr="00E94E2A">
        <w:rPr>
          <w:rFonts w:cs="Arial"/>
          <w:lang w:eastAsia="hu-HU"/>
        </w:rPr>
        <w:t>, regardless of their legal status and the way in which they are financed.</w:t>
      </w:r>
    </w:p>
    <w:p w:rsidR="0065702E" w:rsidRPr="00E94E2A" w:rsidRDefault="0065702E" w:rsidP="0065702E">
      <w:pPr>
        <w:pStyle w:val="ListParagraph"/>
        <w:numPr>
          <w:ilvl w:val="0"/>
          <w:numId w:val="10"/>
        </w:numPr>
        <w:spacing w:before="120" w:after="120" w:line="276" w:lineRule="auto"/>
        <w:ind w:left="714" w:hanging="357"/>
        <w:contextualSpacing w:val="0"/>
        <w:rPr>
          <w:rFonts w:cs="Arial"/>
        </w:rPr>
      </w:pPr>
      <w:r w:rsidRPr="00E94E2A">
        <w:rPr>
          <w:rFonts w:cs="Arial"/>
          <w:b/>
          <w:bCs/>
          <w:lang w:eastAsia="hu-HU"/>
        </w:rPr>
        <w:t xml:space="preserve">Is an undertaking engaged in economic activity? </w:t>
      </w:r>
      <w:r w:rsidRPr="00E94E2A">
        <w:rPr>
          <w:rFonts w:cs="Arial"/>
        </w:rPr>
        <w:t>Economic activity is defined as any activity consisting in offering goods and/or services on a market and which could, at least in principle, be carried out by a private operator for remuneration.</w:t>
      </w:r>
    </w:p>
    <w:p w:rsidR="0065702E" w:rsidRPr="00E94E2A" w:rsidRDefault="0065702E" w:rsidP="006F2FBA">
      <w:r w:rsidRPr="00E94E2A">
        <w:t>If these two initial assumptions are correct, the four tests must then be applied to determine the possible presence of State aid:</w:t>
      </w:r>
    </w:p>
    <w:p w:rsidR="0065702E" w:rsidRPr="00E94E2A" w:rsidRDefault="0065702E" w:rsidP="0065702E">
      <w:pPr>
        <w:pStyle w:val="ListParagraph"/>
        <w:numPr>
          <w:ilvl w:val="0"/>
          <w:numId w:val="11"/>
        </w:numPr>
        <w:spacing w:before="120" w:after="120" w:line="360" w:lineRule="auto"/>
        <w:rPr>
          <w:rFonts w:cs="Arial"/>
          <w:lang w:eastAsia="hu-HU"/>
        </w:rPr>
      </w:pPr>
      <w:r w:rsidRPr="00E94E2A">
        <w:rPr>
          <w:rFonts w:cs="Arial"/>
          <w:lang w:eastAsia="hu-HU"/>
        </w:rPr>
        <w:t xml:space="preserve">there has been an </w:t>
      </w:r>
      <w:r w:rsidRPr="00E94E2A">
        <w:rPr>
          <w:rFonts w:cs="Arial"/>
          <w:b/>
          <w:bCs/>
          <w:lang w:eastAsia="hu-HU"/>
        </w:rPr>
        <w:t>intervention by the State or through State resources</w:t>
      </w:r>
      <w:r w:rsidRPr="00E94E2A">
        <w:rPr>
          <w:rFonts w:cs="Arial"/>
          <w:lang w:eastAsia="hu-HU"/>
        </w:rPr>
        <w:t xml:space="preserve"> which can take a variety of forms (e.g. grants, interest and tax reliefs, guarantees, government holdings of all or part of a company, or providing goods and services on preferential terms, etc.); </w:t>
      </w:r>
    </w:p>
    <w:p w:rsidR="0065702E" w:rsidRPr="00E94E2A" w:rsidRDefault="0065702E" w:rsidP="0065702E">
      <w:pPr>
        <w:pStyle w:val="ListParagraph"/>
        <w:numPr>
          <w:ilvl w:val="0"/>
          <w:numId w:val="11"/>
        </w:numPr>
        <w:spacing w:before="120" w:after="120" w:line="360" w:lineRule="auto"/>
        <w:rPr>
          <w:rFonts w:cs="Arial"/>
          <w:lang w:eastAsia="hu-HU"/>
        </w:rPr>
      </w:pPr>
      <w:r w:rsidRPr="00E94E2A">
        <w:rPr>
          <w:rFonts w:cs="Arial"/>
          <w:lang w:eastAsia="hu-HU"/>
        </w:rPr>
        <w:t xml:space="preserve">the intervention gives </w:t>
      </w:r>
      <w:r w:rsidRPr="00E94E2A">
        <w:rPr>
          <w:rFonts w:cs="Arial"/>
          <w:b/>
          <w:bCs/>
          <w:lang w:eastAsia="hu-HU"/>
        </w:rPr>
        <w:t>the recipient an advantage on a selective basis</w:t>
      </w:r>
      <w:r w:rsidRPr="00E94E2A">
        <w:rPr>
          <w:rFonts w:cs="Arial"/>
          <w:lang w:eastAsia="hu-HU"/>
        </w:rPr>
        <w:t>, for example to specific companies or industry sectors, or to companies located in specific regions;</w:t>
      </w:r>
    </w:p>
    <w:p w:rsidR="0065702E" w:rsidRPr="00E94E2A" w:rsidRDefault="0065702E" w:rsidP="0065702E">
      <w:pPr>
        <w:pStyle w:val="ListParagraph"/>
        <w:numPr>
          <w:ilvl w:val="0"/>
          <w:numId w:val="11"/>
        </w:numPr>
        <w:spacing w:before="120" w:after="120" w:line="360" w:lineRule="auto"/>
        <w:rPr>
          <w:rFonts w:cs="Arial"/>
          <w:lang w:eastAsia="hu-HU"/>
        </w:rPr>
      </w:pPr>
      <w:r w:rsidRPr="00E94E2A">
        <w:rPr>
          <w:rFonts w:cs="Arial"/>
          <w:b/>
          <w:bCs/>
          <w:lang w:eastAsia="hu-HU"/>
        </w:rPr>
        <w:t>competition has been or may be distorted</w:t>
      </w:r>
      <w:r w:rsidRPr="00E94E2A">
        <w:rPr>
          <w:rFonts w:cs="Arial"/>
          <w:lang w:eastAsia="hu-HU"/>
        </w:rPr>
        <w:t>;</w:t>
      </w:r>
    </w:p>
    <w:p w:rsidR="0065702E" w:rsidRPr="00E94E2A" w:rsidRDefault="0065702E" w:rsidP="0065702E">
      <w:pPr>
        <w:pStyle w:val="ListParagraph"/>
        <w:numPr>
          <w:ilvl w:val="0"/>
          <w:numId w:val="11"/>
        </w:numPr>
        <w:spacing w:before="120" w:after="120" w:line="360" w:lineRule="auto"/>
        <w:rPr>
          <w:rFonts w:cs="Arial"/>
          <w:lang w:eastAsia="hu-HU"/>
        </w:rPr>
      </w:pPr>
      <w:proofErr w:type="gramStart"/>
      <w:r w:rsidRPr="00E94E2A">
        <w:rPr>
          <w:rFonts w:cs="Arial"/>
          <w:lang w:eastAsia="hu-HU"/>
        </w:rPr>
        <w:t>the</w:t>
      </w:r>
      <w:proofErr w:type="gramEnd"/>
      <w:r w:rsidRPr="00E94E2A">
        <w:rPr>
          <w:rFonts w:cs="Arial"/>
          <w:lang w:eastAsia="hu-HU"/>
        </w:rPr>
        <w:t xml:space="preserve"> intervention is likely to </w:t>
      </w:r>
      <w:r w:rsidRPr="00E94E2A">
        <w:rPr>
          <w:rFonts w:cs="Arial"/>
          <w:b/>
          <w:bCs/>
          <w:lang w:eastAsia="hu-HU"/>
        </w:rPr>
        <w:t>affect trade between Member States</w:t>
      </w:r>
      <w:r w:rsidRPr="00E94E2A">
        <w:rPr>
          <w:rFonts w:cs="Arial"/>
          <w:lang w:eastAsia="hu-HU"/>
        </w:rPr>
        <w:t>.</w:t>
      </w:r>
    </w:p>
    <w:p w:rsidR="0065702E" w:rsidRPr="00E94E2A" w:rsidRDefault="0065702E" w:rsidP="006F2FBA">
      <w:pPr>
        <w:pStyle w:val="Heading3"/>
        <w:rPr>
          <w:rFonts w:eastAsia="Times New Roman"/>
        </w:rPr>
      </w:pPr>
      <w:r w:rsidRPr="00E94E2A">
        <w:rPr>
          <w:rFonts w:eastAsia="Times New Roman"/>
        </w:rPr>
        <w:t>Undertaking</w:t>
      </w:r>
    </w:p>
    <w:p w:rsidR="0065702E" w:rsidRPr="00E94E2A" w:rsidRDefault="0065702E" w:rsidP="0065702E">
      <w:pPr>
        <w:spacing w:before="120" w:after="120"/>
        <w:rPr>
          <w:rFonts w:cs="Arial"/>
        </w:rPr>
      </w:pPr>
      <w:r w:rsidRPr="00E94E2A">
        <w:rPr>
          <w:rFonts w:cs="Arial"/>
        </w:rPr>
        <w:t xml:space="preserve">The classification of a particular entity as an undertaking depends entirely on the nature of its activities. The status of the entity under national law is not decisive. For example, an entity that is classified as </w:t>
      </w:r>
      <w:proofErr w:type="gramStart"/>
      <w:r w:rsidRPr="00E94E2A">
        <w:rPr>
          <w:rFonts w:cs="Arial"/>
        </w:rPr>
        <w:t>a</w:t>
      </w:r>
      <w:r w:rsidR="006F2FBA">
        <w:rPr>
          <w:rFonts w:cs="Arial"/>
        </w:rPr>
        <w:t>n</w:t>
      </w:r>
      <w:proofErr w:type="gramEnd"/>
      <w:r w:rsidRPr="00E94E2A">
        <w:rPr>
          <w:rFonts w:cs="Arial"/>
        </w:rPr>
        <w:t xml:space="preserve"> association under national law may nevertheless have to be regarded as an undertaking within the meaning of Article 107(1) TFEU. The only relevant criterion in this respect is whether it carries out an economic activity. </w:t>
      </w:r>
    </w:p>
    <w:p w:rsidR="0065702E" w:rsidRPr="00E94E2A" w:rsidRDefault="0065702E" w:rsidP="0065702E">
      <w:pPr>
        <w:spacing w:before="120" w:after="120"/>
        <w:rPr>
          <w:rFonts w:cs="Arial"/>
        </w:rPr>
      </w:pPr>
      <w:r w:rsidRPr="00E94E2A">
        <w:rPr>
          <w:rFonts w:cs="Arial"/>
        </w:rPr>
        <w:t>Furthermore the application of the State aid rules as such does not depend on whether the entity is set up to generate profit or not, non-profit entities can offer goods and services on a market too. Thus the classification of an entity as an undertaking is always relative to a specific activity. An entity that carries out both economic and non-economic activities is to be regarded as an undertaking only with regard to the former.</w:t>
      </w:r>
    </w:p>
    <w:p w:rsidR="006F2FBA" w:rsidRDefault="006F2FBA">
      <w:pPr>
        <w:spacing w:after="0" w:line="240" w:lineRule="auto"/>
        <w:jc w:val="left"/>
        <w:rPr>
          <w:rFonts w:ascii="Aller" w:hAnsi="Aller" w:cstheme="majorBidi"/>
          <w:b/>
          <w:bCs/>
          <w:color w:val="4F81BD" w:themeColor="accent1"/>
          <w:szCs w:val="22"/>
        </w:rPr>
      </w:pPr>
      <w:r>
        <w:br w:type="page"/>
      </w:r>
    </w:p>
    <w:p w:rsidR="0065702E" w:rsidRPr="00E94E2A" w:rsidRDefault="0065702E" w:rsidP="006F2FBA">
      <w:pPr>
        <w:pStyle w:val="Heading3"/>
        <w:rPr>
          <w:rFonts w:eastAsia="Times New Roman"/>
        </w:rPr>
      </w:pPr>
      <w:r w:rsidRPr="00E94E2A">
        <w:rPr>
          <w:rFonts w:eastAsia="Times New Roman"/>
        </w:rPr>
        <w:t>Economic activity:</w:t>
      </w:r>
    </w:p>
    <w:p w:rsidR="0065702E" w:rsidRPr="00E94E2A" w:rsidRDefault="0065702E" w:rsidP="0065702E">
      <w:pPr>
        <w:spacing w:before="120" w:after="120"/>
        <w:rPr>
          <w:rFonts w:cs="Arial"/>
        </w:rPr>
      </w:pPr>
      <w:r w:rsidRPr="00E94E2A">
        <w:rPr>
          <w:rFonts w:cs="Arial"/>
        </w:rPr>
        <w:t xml:space="preserve">Any activity consisting in offering goods and services on a market is an economic activity. </w:t>
      </w:r>
    </w:p>
    <w:p w:rsidR="0065702E" w:rsidRPr="00E94E2A" w:rsidRDefault="0065702E" w:rsidP="006F2FBA">
      <w:pPr>
        <w:pStyle w:val="Heading4"/>
        <w:rPr>
          <w:sz w:val="22"/>
          <w:szCs w:val="22"/>
        </w:rPr>
      </w:pPr>
      <w:r w:rsidRPr="00E94E2A">
        <w:t>Exercise of public powers</w:t>
      </w:r>
    </w:p>
    <w:p w:rsidR="0065702E" w:rsidRPr="00E94E2A" w:rsidRDefault="0065702E" w:rsidP="0065702E">
      <w:pPr>
        <w:spacing w:before="120" w:after="120"/>
        <w:rPr>
          <w:rFonts w:cs="Arial"/>
        </w:rPr>
      </w:pPr>
      <w:r w:rsidRPr="00E94E2A">
        <w:rPr>
          <w:rFonts w:cs="Arial"/>
        </w:rPr>
        <w:t>In so far as a public entity exercises an economic activity which can be separated from the exercise of public powers, that entity, in relation to that activity, acts as an undertaking. On the contrary, if that economic activity cannot be separated from the exercise of public powers, the activities exercised by that entity as a whole remain connected with the exercise of those public powers and therefore fall outside the notion of undertaking.</w:t>
      </w:r>
    </w:p>
    <w:p w:rsidR="0065702E" w:rsidRPr="00E94E2A" w:rsidRDefault="0065702E" w:rsidP="006F2FBA">
      <w:pPr>
        <w:pStyle w:val="Heading4"/>
      </w:pPr>
      <w:r w:rsidRPr="00E94E2A">
        <w:t>Social security</w:t>
      </w:r>
    </w:p>
    <w:p w:rsidR="0065702E" w:rsidRPr="00E94E2A" w:rsidRDefault="0065702E" w:rsidP="0065702E">
      <w:pPr>
        <w:spacing w:before="120" w:after="120"/>
        <w:rPr>
          <w:rFonts w:cs="Arial"/>
        </w:rPr>
      </w:pPr>
      <w:r w:rsidRPr="00E94E2A">
        <w:rPr>
          <w:rFonts w:cs="Arial"/>
        </w:rPr>
        <w:t>In general if a social security scheme is solidarity-based it does not involve an economic activity. Such solidarity-based schemes must be distinguished from economic schemes which are regularly characterised by optional membership, the principle of capitalisation, their profit-making nature and the provision of entitlements which are supplementary to those under a basic scheme.</w:t>
      </w:r>
    </w:p>
    <w:p w:rsidR="0065702E" w:rsidRPr="00E94E2A" w:rsidRDefault="0065702E" w:rsidP="006F2FBA">
      <w:pPr>
        <w:pStyle w:val="Heading4"/>
      </w:pPr>
      <w:r w:rsidRPr="00E94E2A">
        <w:t>Health care</w:t>
      </w:r>
    </w:p>
    <w:p w:rsidR="0065702E" w:rsidRPr="00E94E2A" w:rsidRDefault="0065702E" w:rsidP="0065702E">
      <w:pPr>
        <w:spacing w:before="120" w:after="120"/>
        <w:rPr>
          <w:rFonts w:cs="Arial"/>
        </w:rPr>
      </w:pPr>
      <w:r w:rsidRPr="00E94E2A">
        <w:rPr>
          <w:rFonts w:cs="Arial"/>
        </w:rPr>
        <w:t>In many other Member States, hospitals and other health care providers offer their services for remuneration, be it directly from patients or from their insurance. In such systems, there is a certain degree of competition between hospitals concerning the provision of health care services. Where this is the case, the fact that a health service is provided by a public hospital is not sufficient for the activity to be classified as non-economic.</w:t>
      </w:r>
    </w:p>
    <w:p w:rsidR="0065702E" w:rsidRPr="00E94E2A" w:rsidRDefault="0065702E" w:rsidP="006F2FBA">
      <w:pPr>
        <w:pStyle w:val="Heading4"/>
      </w:pPr>
      <w:r w:rsidRPr="00E94E2A">
        <w:t xml:space="preserve">Education and research activities </w:t>
      </w:r>
    </w:p>
    <w:p w:rsidR="0065702E" w:rsidRPr="00E94E2A" w:rsidRDefault="0065702E" w:rsidP="0065702E">
      <w:pPr>
        <w:spacing w:before="120" w:after="120"/>
        <w:rPr>
          <w:rFonts w:cs="Arial"/>
        </w:rPr>
      </w:pPr>
      <w:r w:rsidRPr="00E94E2A">
        <w:rPr>
          <w:rFonts w:cs="Arial"/>
        </w:rPr>
        <w:t xml:space="preserve">Public education organised within the national educational system funded and supervised by the State may be considered as a non-economic activity, the non-economic nature of public education is in principle not affected by the fact that pupils or their parents sometimes have to pay tuition or enrolment fees which contribute to the operating expenses of the system. </w:t>
      </w:r>
    </w:p>
    <w:p w:rsidR="0065702E" w:rsidRPr="00E94E2A" w:rsidRDefault="0065702E" w:rsidP="0065702E">
      <w:pPr>
        <w:spacing w:before="120" w:after="120"/>
        <w:rPr>
          <w:rFonts w:cs="Arial"/>
        </w:rPr>
      </w:pPr>
      <w:r w:rsidRPr="00E94E2A">
        <w:rPr>
          <w:rFonts w:cs="Arial"/>
        </w:rPr>
        <w:t>Such public education services must be distinguished from services financed predominantly by parents or pupils or commercial revenues. For example, higher education financed entirely by students clearly fall within the latter category. In certain Member States public entities can also offer educational services which, due to their nature, financing structure and the existence of competing private organisations, are to be regarded as economic.</w:t>
      </w:r>
    </w:p>
    <w:p w:rsidR="0065702E" w:rsidRPr="00E94E2A" w:rsidRDefault="0065702E" w:rsidP="0065702E">
      <w:pPr>
        <w:spacing w:before="120" w:after="120"/>
        <w:rPr>
          <w:rFonts w:cs="Arial"/>
        </w:rPr>
      </w:pPr>
      <w:r w:rsidRPr="00E94E2A">
        <w:rPr>
          <w:rFonts w:cs="Arial"/>
        </w:rPr>
        <w:t>In light of the above principles, the Commission considers that certain activities of universities and research organisations fall outside the ambit of the State aid rules. This concerns their primary activities, namely: education for more and better skilled human resources, the conduct of independent research and development for more knowledge and better understanding, including collaborative research and development; and the dissemination of research results.</w:t>
      </w:r>
    </w:p>
    <w:p w:rsidR="0065702E" w:rsidRPr="00E94E2A" w:rsidRDefault="0065702E" w:rsidP="006F2FBA">
      <w:pPr>
        <w:pStyle w:val="Heading4"/>
      </w:pPr>
      <w:r w:rsidRPr="00E94E2A">
        <w:t>Infrastructure</w:t>
      </w:r>
    </w:p>
    <w:p w:rsidR="0065702E" w:rsidRPr="00E94E2A" w:rsidRDefault="0065702E" w:rsidP="0065702E">
      <w:pPr>
        <w:spacing w:before="120" w:after="120"/>
        <w:rPr>
          <w:rFonts w:cs="Arial"/>
        </w:rPr>
      </w:pPr>
      <w:r w:rsidRPr="00E94E2A">
        <w:rPr>
          <w:rFonts w:cs="Arial"/>
        </w:rPr>
        <w:t>The construction of any type of infrastructure that is meant to be exploited economically, such as a commercial airport runway, is an economic activity in itself, which means that State aid rules apply to the way in which it is funded. Public funding of infrastructure that is not meant to be commercially exploited is in principle excluded from the application of the State aid rules. This concerns, for instance, general infrastructures, such as public roads, bridges or canals, which are made available for public use without any consideration. Where an originally non-economic infrastructure is later re-assigned to economic use (e.g. where a military airport is converted to civilian use), only the costs incurred for the conversion of the infrastructure to economic use will be taken into account for the assessment under the State aid rules.</w:t>
      </w:r>
    </w:p>
    <w:p w:rsidR="0065702E" w:rsidRPr="00E94E2A" w:rsidRDefault="0065702E" w:rsidP="006F2FBA">
      <w:pPr>
        <w:pStyle w:val="Heading3"/>
        <w:rPr>
          <w:rFonts w:eastAsia="Times New Roman"/>
        </w:rPr>
      </w:pPr>
      <w:r w:rsidRPr="00E94E2A">
        <w:rPr>
          <w:rFonts w:eastAsia="Times New Roman"/>
        </w:rPr>
        <w:t>Intervention by the State or through State resources:</w:t>
      </w:r>
    </w:p>
    <w:p w:rsidR="0065702E" w:rsidRPr="00E94E2A" w:rsidRDefault="0065702E" w:rsidP="0065702E">
      <w:pPr>
        <w:spacing w:before="120" w:after="120"/>
        <w:rPr>
          <w:rFonts w:cs="Arial"/>
        </w:rPr>
      </w:pPr>
      <w:r w:rsidRPr="00E94E2A">
        <w:rPr>
          <w:rFonts w:cs="Arial"/>
        </w:rPr>
        <w:t xml:space="preserve">The granting of an advantage directly or indirectly through </w:t>
      </w:r>
      <w:r w:rsidRPr="00E94E2A">
        <w:rPr>
          <w:rFonts w:cs="Arial"/>
          <w:b/>
        </w:rPr>
        <w:t>State resources</w:t>
      </w:r>
      <w:r w:rsidRPr="00E94E2A">
        <w:rPr>
          <w:rFonts w:cs="Arial"/>
        </w:rPr>
        <w:t xml:space="preserve"> and the </w:t>
      </w:r>
      <w:proofErr w:type="spellStart"/>
      <w:r w:rsidRPr="00E94E2A">
        <w:rPr>
          <w:rFonts w:cs="Arial"/>
          <w:b/>
        </w:rPr>
        <w:t>imputability</w:t>
      </w:r>
      <w:proofErr w:type="spellEnd"/>
      <w:r w:rsidRPr="00E94E2A">
        <w:rPr>
          <w:rFonts w:cs="Arial"/>
          <w:b/>
        </w:rPr>
        <w:t xml:space="preserve"> of such a measure</w:t>
      </w:r>
      <w:r w:rsidRPr="00E94E2A">
        <w:rPr>
          <w:rFonts w:cs="Arial"/>
        </w:rPr>
        <w:t xml:space="preserve"> to the State are two separate and cumulative conditions for State aid to exist.</w:t>
      </w:r>
    </w:p>
    <w:p w:rsidR="0065702E" w:rsidRPr="00E94E2A" w:rsidRDefault="0065702E" w:rsidP="006F2FBA">
      <w:pPr>
        <w:pStyle w:val="Heading4"/>
      </w:pPr>
      <w:proofErr w:type="spellStart"/>
      <w:r w:rsidRPr="00E94E2A">
        <w:t>Imputability</w:t>
      </w:r>
      <w:proofErr w:type="spellEnd"/>
    </w:p>
    <w:p w:rsidR="0065702E" w:rsidRPr="00E94E2A" w:rsidRDefault="0065702E" w:rsidP="0065702E">
      <w:pPr>
        <w:spacing w:before="120" w:after="120"/>
        <w:rPr>
          <w:rFonts w:cs="Arial"/>
        </w:rPr>
      </w:pPr>
      <w:r w:rsidRPr="00E94E2A">
        <w:rPr>
          <w:rFonts w:cs="Arial"/>
        </w:rPr>
        <w:t xml:space="preserve">In cases where a public authority grants aid to a beneficiary or designates a private or public body to administer the measure, this transfer is imputable to the State, even if the public authority enjoys autonomy. </w:t>
      </w:r>
      <w:proofErr w:type="spellStart"/>
      <w:r w:rsidRPr="00E94E2A">
        <w:rPr>
          <w:rFonts w:cs="Arial"/>
        </w:rPr>
        <w:t>Imputability</w:t>
      </w:r>
      <w:proofErr w:type="spellEnd"/>
      <w:r w:rsidRPr="00E94E2A">
        <w:rPr>
          <w:rFonts w:cs="Arial"/>
        </w:rPr>
        <w:t xml:space="preserve"> is less evident, however, if the advantage is granted through one or more intermediate bodies, be they public or private, and in particular through public undertakings.</w:t>
      </w:r>
    </w:p>
    <w:p w:rsidR="0065702E" w:rsidRPr="00E94E2A" w:rsidRDefault="0065702E" w:rsidP="006F2FBA">
      <w:pPr>
        <w:pStyle w:val="Heading4"/>
      </w:pPr>
      <w:r w:rsidRPr="00E94E2A">
        <w:t>State resources</w:t>
      </w:r>
    </w:p>
    <w:p w:rsidR="0065702E" w:rsidRPr="00E94E2A" w:rsidRDefault="0065702E" w:rsidP="0065702E">
      <w:pPr>
        <w:spacing w:before="120" w:after="120"/>
        <w:rPr>
          <w:rFonts w:cs="Arial"/>
        </w:rPr>
      </w:pPr>
      <w:r w:rsidRPr="00E94E2A">
        <w:rPr>
          <w:rFonts w:cs="Arial"/>
        </w:rPr>
        <w:t>Only advantages granted directly or indirectly through State resources can constitute State aid within the meaning of Article 107(1) TFEU. State resources include all resources of the public sector69, including resources of intra-State entities (decentralised, federated, regional or other</w:t>
      </w:r>
      <w:proofErr w:type="gramStart"/>
      <w:r w:rsidRPr="00E94E2A">
        <w:rPr>
          <w:rFonts w:cs="Arial"/>
        </w:rPr>
        <w:t>)70</w:t>
      </w:r>
      <w:proofErr w:type="gramEnd"/>
      <w:r w:rsidRPr="00E94E2A">
        <w:rPr>
          <w:rFonts w:cs="Arial"/>
        </w:rPr>
        <w:t xml:space="preserve"> and, under certain circumstances, resources of private bodies.</w:t>
      </w:r>
    </w:p>
    <w:p w:rsidR="0065702E" w:rsidRPr="00E94E2A" w:rsidRDefault="0065702E" w:rsidP="0065702E">
      <w:pPr>
        <w:spacing w:before="120" w:after="120"/>
        <w:rPr>
          <w:rFonts w:cs="Arial"/>
        </w:rPr>
      </w:pPr>
      <w:r w:rsidRPr="00E94E2A">
        <w:rPr>
          <w:rFonts w:cs="Arial"/>
        </w:rPr>
        <w:t>A positive transfer of funds is not necessary. Waiving revenue which would otherwise have been paid to the State constitutes a transfer of State resources. For example, a “shortfall” in tax and social security revenue due to exemptions or reductions in taxes or social security contributions granted by the Member State, or exemptions from the obligation to pay fines or other pecuniary penalties, fulfils the State resources requirement of Article 107(1) TFEU.</w:t>
      </w:r>
    </w:p>
    <w:p w:rsidR="0065702E" w:rsidRPr="00E94E2A" w:rsidRDefault="0065702E" w:rsidP="006F2FBA">
      <w:pPr>
        <w:pStyle w:val="Heading3"/>
        <w:rPr>
          <w:rFonts w:eastAsia="Times New Roman"/>
        </w:rPr>
      </w:pPr>
      <w:r w:rsidRPr="00E94E2A">
        <w:rPr>
          <w:rFonts w:eastAsia="Times New Roman"/>
        </w:rPr>
        <w:t>Intervention gives the recipient an advantage on a selective basis:</w:t>
      </w:r>
    </w:p>
    <w:p w:rsidR="0065702E" w:rsidRPr="00E94E2A" w:rsidRDefault="0065702E" w:rsidP="006F2FBA">
      <w:pPr>
        <w:pStyle w:val="Heading4"/>
      </w:pPr>
      <w:r w:rsidRPr="00E94E2A">
        <w:t>Advantage</w:t>
      </w:r>
    </w:p>
    <w:p w:rsidR="0065702E" w:rsidRPr="00E94E2A" w:rsidRDefault="0065702E" w:rsidP="0065702E">
      <w:pPr>
        <w:spacing w:before="120" w:after="120"/>
        <w:rPr>
          <w:rFonts w:cs="Arial"/>
        </w:rPr>
      </w:pPr>
      <w:r w:rsidRPr="00E94E2A">
        <w:rPr>
          <w:rFonts w:cs="Arial"/>
        </w:rPr>
        <w:t xml:space="preserve">An advantage, within the meaning of Article 107(1) TFEU, is any economic benefit which an undertaking would not have obtained under normal market conditions, i.e. in the absence of State intervention. </w:t>
      </w:r>
    </w:p>
    <w:p w:rsidR="0065702E" w:rsidRPr="00E94E2A" w:rsidRDefault="0065702E" w:rsidP="0065702E">
      <w:pPr>
        <w:spacing w:before="120" w:after="120"/>
        <w:rPr>
          <w:rFonts w:cs="Arial"/>
        </w:rPr>
      </w:pPr>
      <w:r w:rsidRPr="00E94E2A">
        <w:rPr>
          <w:rFonts w:cs="Arial"/>
        </w:rPr>
        <w:t>Only the effect of the measure on the undertaking is relevant, neither the cause nor the objective of the State intervention. The precise form of the measure is also irrelevant in establishing whether it confers an economic advantage on the undertaking: relief from economic burdens can also constitute an advantage.</w:t>
      </w:r>
    </w:p>
    <w:p w:rsidR="0065702E" w:rsidRPr="00E94E2A" w:rsidRDefault="0065702E" w:rsidP="006F2FBA">
      <w:pPr>
        <w:pStyle w:val="Heading4"/>
      </w:pPr>
      <w:r w:rsidRPr="00E94E2A">
        <w:t>The state aid rules for Services of General Economic Interest (SGEI)</w:t>
      </w:r>
    </w:p>
    <w:p w:rsidR="0065702E" w:rsidRPr="00E94E2A" w:rsidRDefault="0065702E" w:rsidP="0065702E">
      <w:pPr>
        <w:spacing w:before="120" w:after="120"/>
        <w:rPr>
          <w:rFonts w:cs="Arial"/>
        </w:rPr>
      </w:pPr>
      <w:r w:rsidRPr="00E94E2A">
        <w:rPr>
          <w:rFonts w:cs="Arial"/>
        </w:rPr>
        <w:t xml:space="preserve">SGEI are services of an economic nature that public </w:t>
      </w:r>
      <w:proofErr w:type="spellStart"/>
      <w:r w:rsidRPr="00E94E2A">
        <w:rPr>
          <w:rFonts w:cs="Arial"/>
        </w:rPr>
        <w:t>autorities</w:t>
      </w:r>
      <w:proofErr w:type="spellEnd"/>
      <w:r w:rsidRPr="00E94E2A">
        <w:rPr>
          <w:rFonts w:cs="Arial"/>
        </w:rPr>
        <w:t xml:space="preserve"> identify as being of particular importance to citizens, but which are not supplied by market forces alone, or at least not to the extent and under the conditions requested by society. Their provision may therefore require public intervention (</w:t>
      </w:r>
      <w:proofErr w:type="spellStart"/>
      <w:r w:rsidRPr="00E94E2A">
        <w:rPr>
          <w:rFonts w:cs="Arial"/>
        </w:rPr>
        <w:t>e.g</w:t>
      </w:r>
      <w:proofErr w:type="spellEnd"/>
      <w:r w:rsidRPr="00E94E2A">
        <w:rPr>
          <w:rFonts w:cs="Arial"/>
        </w:rPr>
        <w:t xml:space="preserve"> large commercial service </w:t>
      </w:r>
      <w:proofErr w:type="spellStart"/>
      <w:r w:rsidRPr="00E94E2A">
        <w:rPr>
          <w:rFonts w:cs="Arial"/>
        </w:rPr>
        <w:t>sas</w:t>
      </w:r>
      <w:proofErr w:type="spellEnd"/>
      <w:r w:rsidRPr="00E94E2A">
        <w:rPr>
          <w:rFonts w:cs="Arial"/>
        </w:rPr>
        <w:t xml:space="preserve"> postal services, energy security of supply, electronic communication services, public transport). </w:t>
      </w:r>
    </w:p>
    <w:p w:rsidR="0065702E" w:rsidRPr="00E94E2A" w:rsidRDefault="0065702E" w:rsidP="0065702E">
      <w:pPr>
        <w:spacing w:before="120" w:after="120"/>
        <w:rPr>
          <w:rFonts w:cs="Arial"/>
        </w:rPr>
      </w:pPr>
      <w:r w:rsidRPr="00E94E2A">
        <w:rPr>
          <w:rFonts w:cs="Arial"/>
        </w:rPr>
        <w:t xml:space="preserve">SGEI are carried out in the public interest under conditions defined by the state which imposes a public service obligation on the providers. Since SGEI provision under such conditions may not generate (sufficient) profit for the provider, public service </w:t>
      </w:r>
      <w:proofErr w:type="gramStart"/>
      <w:r w:rsidRPr="00E94E2A">
        <w:rPr>
          <w:rFonts w:cs="Arial"/>
        </w:rPr>
        <w:t>compensation,</w:t>
      </w:r>
      <w:proofErr w:type="gramEnd"/>
      <w:r w:rsidRPr="00E94E2A">
        <w:rPr>
          <w:rFonts w:cs="Arial"/>
        </w:rPr>
        <w:t xml:space="preserve"> might be needed to offset the additional costs stemming from the public service obligation. State intervention on a market can be source of distortion, therefore State aid control aims to ensure that public service compensation is </w:t>
      </w:r>
      <w:proofErr w:type="spellStart"/>
      <w:r w:rsidRPr="00E94E2A">
        <w:rPr>
          <w:rFonts w:cs="Arial"/>
        </w:rPr>
        <w:t>necesarry</w:t>
      </w:r>
      <w:proofErr w:type="spellEnd"/>
      <w:r w:rsidRPr="00E94E2A">
        <w:rPr>
          <w:rFonts w:cs="Arial"/>
        </w:rPr>
        <w:t xml:space="preserve"> and proportionate to the objective pursued.</w:t>
      </w:r>
    </w:p>
    <w:p w:rsidR="0065702E" w:rsidRPr="00E94E2A" w:rsidRDefault="0065702E" w:rsidP="006F2FBA">
      <w:pPr>
        <w:pStyle w:val="Heading4"/>
      </w:pPr>
      <w:proofErr w:type="spellStart"/>
      <w:r w:rsidRPr="00E94E2A">
        <w:t>Altmark</w:t>
      </w:r>
      <w:proofErr w:type="spellEnd"/>
      <w:r w:rsidRPr="00E94E2A">
        <w:t xml:space="preserve"> criteria</w:t>
      </w:r>
    </w:p>
    <w:p w:rsidR="0065702E" w:rsidRPr="00E94E2A" w:rsidRDefault="0065702E" w:rsidP="0065702E">
      <w:pPr>
        <w:spacing w:before="120" w:after="120"/>
        <w:rPr>
          <w:rFonts w:cs="Arial"/>
        </w:rPr>
      </w:pPr>
      <w:r w:rsidRPr="00E94E2A">
        <w:rPr>
          <w:rFonts w:cs="Arial"/>
        </w:rPr>
        <w:t>As regards compensation for costs incurred to provide a service of general economic interest the granting of an advantage can be excluded if four cumulative conditions are met:</w:t>
      </w:r>
    </w:p>
    <w:p w:rsidR="0065702E" w:rsidRPr="00E94E2A" w:rsidRDefault="0065702E" w:rsidP="0065702E">
      <w:pPr>
        <w:pStyle w:val="ListParagraph"/>
        <w:numPr>
          <w:ilvl w:val="0"/>
          <w:numId w:val="14"/>
        </w:numPr>
        <w:spacing w:before="120" w:after="120" w:line="276" w:lineRule="auto"/>
        <w:rPr>
          <w:rFonts w:cs="Arial"/>
          <w:bCs/>
          <w:lang w:eastAsia="hu-HU"/>
        </w:rPr>
      </w:pPr>
      <w:r w:rsidRPr="00E94E2A">
        <w:rPr>
          <w:rFonts w:cs="Arial"/>
          <w:bCs/>
          <w:lang w:eastAsia="hu-HU"/>
        </w:rPr>
        <w:t>the recipient undertaking must actually have public service obligations to discharge, and the obligations must be clearly defined;</w:t>
      </w:r>
    </w:p>
    <w:p w:rsidR="0065702E" w:rsidRPr="00E94E2A" w:rsidRDefault="0065702E" w:rsidP="0065702E">
      <w:pPr>
        <w:pStyle w:val="ListParagraph"/>
        <w:numPr>
          <w:ilvl w:val="0"/>
          <w:numId w:val="14"/>
        </w:numPr>
        <w:spacing w:before="120" w:after="120" w:line="276" w:lineRule="auto"/>
        <w:rPr>
          <w:rFonts w:cs="Arial"/>
          <w:bCs/>
          <w:lang w:eastAsia="hu-HU"/>
        </w:rPr>
      </w:pPr>
      <w:r w:rsidRPr="00E94E2A">
        <w:rPr>
          <w:rFonts w:cs="Arial"/>
          <w:bCs/>
          <w:lang w:eastAsia="hu-HU"/>
        </w:rPr>
        <w:t>the parameters on the basis of which the compensation is calculated must be established in advance in an objective and transparent manner;</w:t>
      </w:r>
    </w:p>
    <w:p w:rsidR="0065702E" w:rsidRPr="00E94E2A" w:rsidRDefault="0065702E" w:rsidP="0065702E">
      <w:pPr>
        <w:pStyle w:val="ListParagraph"/>
        <w:numPr>
          <w:ilvl w:val="0"/>
          <w:numId w:val="14"/>
        </w:numPr>
        <w:spacing w:before="120" w:after="120" w:line="276" w:lineRule="auto"/>
        <w:rPr>
          <w:rFonts w:cs="Arial"/>
          <w:bCs/>
          <w:lang w:eastAsia="hu-HU"/>
        </w:rPr>
      </w:pPr>
      <w:r w:rsidRPr="00E94E2A">
        <w:rPr>
          <w:rFonts w:cs="Arial"/>
          <w:bCs/>
          <w:lang w:eastAsia="hu-HU"/>
        </w:rPr>
        <w:t>the compensation cannot exceed what is necessary to cover all or part of the costs incurred in the discharge of public service obligations, taking into account the relevant receipts and a reasonable profit;</w:t>
      </w:r>
    </w:p>
    <w:p w:rsidR="0065702E" w:rsidRPr="00E94E2A" w:rsidRDefault="0065702E" w:rsidP="0065702E">
      <w:pPr>
        <w:pStyle w:val="ListParagraph"/>
        <w:numPr>
          <w:ilvl w:val="0"/>
          <w:numId w:val="14"/>
        </w:numPr>
        <w:spacing w:before="120" w:after="120" w:line="276" w:lineRule="auto"/>
        <w:rPr>
          <w:rFonts w:cs="Arial"/>
          <w:bCs/>
          <w:lang w:eastAsia="hu-HU"/>
        </w:rPr>
      </w:pPr>
      <w:proofErr w:type="gramStart"/>
      <w:r w:rsidRPr="00E94E2A">
        <w:rPr>
          <w:rFonts w:cs="Arial"/>
          <w:bCs/>
          <w:lang w:eastAsia="hu-HU"/>
        </w:rPr>
        <w:t>the</w:t>
      </w:r>
      <w:proofErr w:type="gramEnd"/>
      <w:r w:rsidRPr="00E94E2A">
        <w:rPr>
          <w:rFonts w:cs="Arial"/>
          <w:bCs/>
          <w:lang w:eastAsia="hu-HU"/>
        </w:rPr>
        <w:t xml:space="preserve"> provider is either chosen through a public procurement procedure or the level of compensation is determined based on an analysis of the cost of an average „well-run” undertaking in the sector concerned.</w:t>
      </w:r>
    </w:p>
    <w:p w:rsidR="0065702E" w:rsidRPr="00E94E2A" w:rsidRDefault="0065702E" w:rsidP="006F2FBA">
      <w:pPr>
        <w:pStyle w:val="Heading4"/>
      </w:pPr>
      <w:r w:rsidRPr="00E94E2A">
        <w:t>Selectivity</w:t>
      </w:r>
    </w:p>
    <w:p w:rsidR="0065702E" w:rsidRPr="00E94E2A" w:rsidRDefault="0065702E" w:rsidP="0065702E">
      <w:pPr>
        <w:spacing w:before="120" w:after="120"/>
        <w:rPr>
          <w:rFonts w:cs="Arial"/>
        </w:rPr>
      </w:pPr>
      <w:r w:rsidRPr="00E94E2A">
        <w:rPr>
          <w:rFonts w:cs="Arial"/>
        </w:rPr>
        <w:t xml:space="preserve">To fall within the scope of Article 107(1) TFEU, a State measure must favour “certain undertakings or the production of certain goods”. Hence, not all measures which favour economic operators fall under the notion of aid, but only those which grant an advantage in a selective way to certain undertakings or categories of undertakings or to certain economic sectors. General measures, which are effectively open to all undertakings operating within a Member State on an equal </w:t>
      </w:r>
      <w:proofErr w:type="gramStart"/>
      <w:r w:rsidRPr="00E94E2A">
        <w:rPr>
          <w:rFonts w:cs="Arial"/>
        </w:rPr>
        <w:t>basis</w:t>
      </w:r>
      <w:proofErr w:type="gramEnd"/>
      <w:r w:rsidRPr="00E94E2A">
        <w:rPr>
          <w:rFonts w:cs="Arial"/>
        </w:rPr>
        <w:t xml:space="preserve"> are not selective.</w:t>
      </w:r>
    </w:p>
    <w:p w:rsidR="0065702E" w:rsidRPr="00E94E2A" w:rsidRDefault="0065702E" w:rsidP="006F2FBA">
      <w:pPr>
        <w:pStyle w:val="Heading4"/>
      </w:pPr>
      <w:r w:rsidRPr="00E94E2A">
        <w:t>Material selectivity</w:t>
      </w:r>
    </w:p>
    <w:p w:rsidR="0065702E" w:rsidRPr="00E94E2A" w:rsidRDefault="0065702E" w:rsidP="0065702E">
      <w:pPr>
        <w:spacing w:before="120" w:after="120"/>
        <w:rPr>
          <w:rFonts w:cs="Arial"/>
        </w:rPr>
      </w:pPr>
      <w:r w:rsidRPr="00E94E2A">
        <w:rPr>
          <w:rFonts w:cs="Arial"/>
        </w:rPr>
        <w:t>The material selectivity of a measure implies that the measure applies only to certain (groups of) undertakings or certain sectors of the economy in a given Member State (</w:t>
      </w:r>
      <w:proofErr w:type="spellStart"/>
      <w:r w:rsidRPr="00E94E2A">
        <w:rPr>
          <w:rFonts w:cs="Arial"/>
        </w:rPr>
        <w:t>e.g</w:t>
      </w:r>
      <w:proofErr w:type="spellEnd"/>
      <w:r w:rsidRPr="00E94E2A">
        <w:rPr>
          <w:rFonts w:cs="Arial"/>
        </w:rPr>
        <w:t xml:space="preserve"> those having a certain size, located in a certain area, active in certain sectors, having a certain legal form, companies incorporated during a particular period, etc.)</w:t>
      </w:r>
    </w:p>
    <w:p w:rsidR="0065702E" w:rsidRPr="00E94E2A" w:rsidRDefault="0065702E" w:rsidP="006F2FBA">
      <w:pPr>
        <w:pStyle w:val="Heading4"/>
      </w:pPr>
      <w:r w:rsidRPr="00E94E2A">
        <w:t>Regional selectivity</w:t>
      </w:r>
    </w:p>
    <w:p w:rsidR="0065702E" w:rsidRPr="00E94E2A" w:rsidRDefault="0065702E" w:rsidP="0065702E">
      <w:pPr>
        <w:tabs>
          <w:tab w:val="left" w:pos="1701"/>
        </w:tabs>
        <w:spacing w:before="120" w:after="120"/>
        <w:rPr>
          <w:rFonts w:cs="Arial"/>
        </w:rPr>
      </w:pPr>
      <w:r w:rsidRPr="00E94E2A">
        <w:rPr>
          <w:rFonts w:cs="Arial"/>
        </w:rPr>
        <w:t>In principle, only those measures whose scope encompasses the entire territory of the State escape the selectivity criterion laid down in Article 107(1) TFEU.</w:t>
      </w:r>
    </w:p>
    <w:p w:rsidR="0065702E" w:rsidRPr="00E94E2A" w:rsidRDefault="0065702E" w:rsidP="006F2FBA">
      <w:pPr>
        <w:pStyle w:val="Heading3"/>
        <w:rPr>
          <w:rFonts w:eastAsia="Times New Roman"/>
        </w:rPr>
      </w:pPr>
      <w:r w:rsidRPr="00E94E2A">
        <w:rPr>
          <w:rFonts w:eastAsia="Times New Roman"/>
        </w:rPr>
        <w:t>Competition has been or may be distorted:</w:t>
      </w:r>
    </w:p>
    <w:p w:rsidR="0065702E" w:rsidRPr="00E94E2A" w:rsidRDefault="0065702E" w:rsidP="006F2FBA">
      <w:r w:rsidRPr="00E94E2A">
        <w:t>Public support to undertakings is only prohibited under Article 107(1) TFEU if it “distorts or threatens to distort competition by favouring certain undertakings or the production of certain goods” and only insofar as it “affects trade between Member States”. These are two distinct and necessary elements of the notion of aid. In practice, however, these criteria are often treated jointly in the assessment of State aid as they are, as a rule, considered inextricably linked.</w:t>
      </w:r>
    </w:p>
    <w:p w:rsidR="0065702E" w:rsidRPr="00E94E2A" w:rsidRDefault="0065702E" w:rsidP="006F2FBA">
      <w:r w:rsidRPr="00E94E2A">
        <w:t>A measure granted by the State is considered to distort or threaten to distort competition when it is liable to improve the competitive position of the recipient compared to other undertakings with which it competes. For all practical purposes, a distortion of competition within the meaning of Article 107 TFEU is thus assumed as soon as the State grants a financial advantage to an undertaking in a liberalised sector where there is, or could be, competition.</w:t>
      </w:r>
    </w:p>
    <w:p w:rsidR="0065702E" w:rsidRPr="00E94E2A" w:rsidRDefault="0065702E" w:rsidP="006F2FBA">
      <w:pPr>
        <w:pStyle w:val="Heading3"/>
        <w:rPr>
          <w:rFonts w:eastAsia="Times New Roman"/>
        </w:rPr>
      </w:pPr>
      <w:r w:rsidRPr="00E94E2A">
        <w:rPr>
          <w:rFonts w:eastAsia="Times New Roman"/>
        </w:rPr>
        <w:t>The intervention is likely to affect trade between Member States:</w:t>
      </w:r>
    </w:p>
    <w:p w:rsidR="0065702E" w:rsidRPr="00E94E2A" w:rsidRDefault="0065702E" w:rsidP="0065702E">
      <w:pPr>
        <w:spacing w:before="120" w:after="120"/>
        <w:rPr>
          <w:rFonts w:cs="Arial"/>
        </w:rPr>
      </w:pPr>
      <w:r w:rsidRPr="00E94E2A">
        <w:rPr>
          <w:rFonts w:cs="Arial"/>
        </w:rPr>
        <w:t>An advantage granted to an undertaking operating in a market which is open to competition will normally be assumed to distort competition and also be liable to affect trade between Member States. Indeed, “where State financial aid strengthens the position of an undertaking as compared with other undertakings competing in intra-Community trade, the latter must be regarded as affected by the aid”.</w:t>
      </w:r>
    </w:p>
    <w:p w:rsidR="0065702E" w:rsidRPr="00E94E2A" w:rsidRDefault="0065702E" w:rsidP="0065702E">
      <w:pPr>
        <w:spacing w:before="120" w:after="120"/>
        <w:rPr>
          <w:rFonts w:cs="Arial"/>
        </w:rPr>
      </w:pPr>
      <w:r w:rsidRPr="00E94E2A">
        <w:rPr>
          <w:rFonts w:cs="Arial"/>
        </w:rPr>
        <w:t>Public support can be considered capable to affect intra-EU trade even if the recipient is not directly involved in cross-border trade. For instance, the subsidy may make it more difficult for operators in other Member States to enter the market by maintaining or increasing local supply.</w:t>
      </w:r>
    </w:p>
    <w:p w:rsidR="0065702E" w:rsidRPr="00E94E2A" w:rsidRDefault="0065702E" w:rsidP="0065702E">
      <w:pPr>
        <w:spacing w:before="120" w:after="120"/>
        <w:rPr>
          <w:rFonts w:cs="Arial"/>
        </w:rPr>
      </w:pPr>
      <w:r w:rsidRPr="00E94E2A">
        <w:rPr>
          <w:rFonts w:cs="Arial"/>
        </w:rPr>
        <w:t xml:space="preserve">However, the Commission has in several cases considered that, due to their specific </w:t>
      </w:r>
      <w:proofErr w:type="gramStart"/>
      <w:r w:rsidRPr="00E94E2A">
        <w:rPr>
          <w:rFonts w:cs="Arial"/>
        </w:rPr>
        <w:t>circumstances,</w:t>
      </w:r>
      <w:proofErr w:type="gramEnd"/>
      <w:r w:rsidRPr="00E94E2A">
        <w:rPr>
          <w:rFonts w:cs="Arial"/>
        </w:rPr>
        <w:t xml:space="preserve"> certain activities had a purely local impact and consequently did not affect trade between Member States. Some examples are:</w:t>
      </w:r>
    </w:p>
    <w:p w:rsidR="0065702E" w:rsidRPr="00E94E2A" w:rsidRDefault="0065702E" w:rsidP="0065702E">
      <w:pPr>
        <w:pStyle w:val="ListParagraph"/>
        <w:numPr>
          <w:ilvl w:val="0"/>
          <w:numId w:val="15"/>
        </w:numPr>
        <w:spacing w:before="120" w:after="120" w:line="276" w:lineRule="auto"/>
        <w:rPr>
          <w:rFonts w:cs="Arial"/>
          <w:bCs/>
          <w:lang w:eastAsia="hu-HU"/>
        </w:rPr>
      </w:pPr>
      <w:r w:rsidRPr="00E94E2A">
        <w:rPr>
          <w:rFonts w:cs="Arial"/>
          <w:bCs/>
          <w:lang w:eastAsia="hu-HU"/>
        </w:rPr>
        <w:t>swimming pools and other leisure facilities intended predominantly for a local catchment area;</w:t>
      </w:r>
    </w:p>
    <w:p w:rsidR="0065702E" w:rsidRPr="00E94E2A" w:rsidRDefault="0065702E" w:rsidP="0065702E">
      <w:pPr>
        <w:pStyle w:val="ListParagraph"/>
        <w:numPr>
          <w:ilvl w:val="0"/>
          <w:numId w:val="15"/>
        </w:numPr>
        <w:spacing w:before="120" w:after="120" w:line="276" w:lineRule="auto"/>
        <w:rPr>
          <w:rFonts w:cs="Arial"/>
          <w:bCs/>
          <w:lang w:eastAsia="hu-HU"/>
        </w:rPr>
      </w:pPr>
      <w:r w:rsidRPr="00E94E2A">
        <w:rPr>
          <w:rFonts w:cs="Arial"/>
          <w:bCs/>
          <w:lang w:eastAsia="hu-HU"/>
        </w:rPr>
        <w:t>museums or other cultural infrastructure unlikely to attract visitors from other Member States;</w:t>
      </w:r>
    </w:p>
    <w:p w:rsidR="0065702E" w:rsidRPr="00E94E2A" w:rsidRDefault="0065702E" w:rsidP="0065702E">
      <w:pPr>
        <w:pStyle w:val="ListParagraph"/>
        <w:numPr>
          <w:ilvl w:val="0"/>
          <w:numId w:val="15"/>
        </w:numPr>
        <w:spacing w:before="120" w:after="120" w:line="276" w:lineRule="auto"/>
        <w:rPr>
          <w:rFonts w:cs="Arial"/>
          <w:bCs/>
          <w:lang w:eastAsia="hu-HU"/>
        </w:rPr>
      </w:pPr>
      <w:r w:rsidRPr="00E94E2A">
        <w:rPr>
          <w:rFonts w:cs="Arial"/>
          <w:bCs/>
          <w:lang w:eastAsia="hu-HU"/>
        </w:rPr>
        <w:t>hospitals and other health care facilities aimed at a local population;</w:t>
      </w:r>
    </w:p>
    <w:p w:rsidR="0065702E" w:rsidRPr="00E94E2A" w:rsidRDefault="0065702E" w:rsidP="0065702E">
      <w:pPr>
        <w:pStyle w:val="ListParagraph"/>
        <w:numPr>
          <w:ilvl w:val="0"/>
          <w:numId w:val="15"/>
        </w:numPr>
        <w:spacing w:before="120" w:after="120" w:line="276" w:lineRule="auto"/>
        <w:rPr>
          <w:rFonts w:cs="Arial"/>
          <w:bCs/>
          <w:lang w:eastAsia="hu-HU"/>
        </w:rPr>
      </w:pPr>
      <w:r w:rsidRPr="00E94E2A">
        <w:rPr>
          <w:rFonts w:cs="Arial"/>
          <w:bCs/>
          <w:lang w:eastAsia="hu-HU"/>
        </w:rPr>
        <w:t>news media and/or cultural products which, for linguistic and geographical reasons, have a locally restricted audience;</w:t>
      </w:r>
    </w:p>
    <w:p w:rsidR="0065702E" w:rsidRPr="00E94E2A" w:rsidRDefault="0065702E" w:rsidP="0065702E">
      <w:pPr>
        <w:pStyle w:val="ListParagraph"/>
        <w:numPr>
          <w:ilvl w:val="0"/>
          <w:numId w:val="15"/>
        </w:numPr>
        <w:spacing w:before="120" w:after="120" w:line="276" w:lineRule="auto"/>
        <w:rPr>
          <w:rFonts w:cs="Arial"/>
          <w:bCs/>
          <w:lang w:eastAsia="hu-HU"/>
        </w:rPr>
      </w:pPr>
      <w:r w:rsidRPr="00E94E2A">
        <w:rPr>
          <w:rFonts w:cs="Arial"/>
          <w:bCs/>
          <w:lang w:eastAsia="hu-HU"/>
        </w:rPr>
        <w:t>a conference centre, where the location and the potential effect of the aid on prices is unlikely to divert users from other centres in other Member States</w:t>
      </w:r>
    </w:p>
    <w:p w:rsidR="006F2FBA" w:rsidRDefault="006F2FBA">
      <w:pPr>
        <w:spacing w:after="0" w:line="240" w:lineRule="auto"/>
        <w:jc w:val="left"/>
        <w:rPr>
          <w:rFonts w:cs="Arial"/>
          <w:b/>
          <w:bCs/>
          <w:color w:val="7F7F7F" w:themeColor="text1" w:themeTint="80"/>
          <w:sz w:val="26"/>
          <w:szCs w:val="26"/>
        </w:rPr>
      </w:pPr>
      <w:r>
        <w:rPr>
          <w:rFonts w:cs="Arial"/>
        </w:rPr>
        <w:br w:type="page"/>
      </w:r>
    </w:p>
    <w:p w:rsidR="0065702E" w:rsidRPr="00E94E2A" w:rsidRDefault="0065702E" w:rsidP="0065702E">
      <w:pPr>
        <w:pStyle w:val="Heading2"/>
        <w:spacing w:before="120"/>
        <w:rPr>
          <w:rFonts w:ascii="Arial" w:eastAsia="Times New Roman" w:hAnsi="Arial" w:cs="Arial"/>
        </w:rPr>
      </w:pPr>
      <w:r w:rsidRPr="00E94E2A">
        <w:rPr>
          <w:rFonts w:ascii="Arial" w:eastAsia="Times New Roman" w:hAnsi="Arial" w:cs="Arial"/>
        </w:rPr>
        <w:t>PART C: If it is State aid, how can it be granted legally?</w:t>
      </w:r>
    </w:p>
    <w:p w:rsidR="0065702E" w:rsidRPr="00E94E2A" w:rsidRDefault="0065702E" w:rsidP="0065702E">
      <w:pPr>
        <w:spacing w:before="120" w:after="120"/>
        <w:rPr>
          <w:rFonts w:cs="Arial"/>
        </w:rPr>
      </w:pPr>
      <w:r w:rsidRPr="00E94E2A">
        <w:rPr>
          <w:rFonts w:cs="Arial"/>
        </w:rPr>
        <w:t xml:space="preserve">Where there is a genuine market failure, state aid might be necessary, justified, and compatible with EU rules. Generally, the Commission bases approvals on whether aid is: </w:t>
      </w:r>
    </w:p>
    <w:p w:rsidR="0065702E" w:rsidRPr="00E94E2A" w:rsidRDefault="0065702E" w:rsidP="0065702E">
      <w:pPr>
        <w:pStyle w:val="ListParagraph"/>
        <w:numPr>
          <w:ilvl w:val="0"/>
          <w:numId w:val="16"/>
        </w:numPr>
        <w:spacing w:before="120" w:after="120" w:line="276" w:lineRule="auto"/>
        <w:rPr>
          <w:rFonts w:cs="Arial"/>
        </w:rPr>
      </w:pPr>
      <w:r w:rsidRPr="00E94E2A">
        <w:rPr>
          <w:rFonts w:cs="Arial"/>
        </w:rPr>
        <w:t xml:space="preserve">The minimum necessary to remedy the failure (proportionate) </w:t>
      </w:r>
    </w:p>
    <w:p w:rsidR="0065702E" w:rsidRPr="00E94E2A" w:rsidRDefault="0065702E" w:rsidP="0065702E">
      <w:pPr>
        <w:pStyle w:val="ListParagraph"/>
        <w:numPr>
          <w:ilvl w:val="0"/>
          <w:numId w:val="15"/>
        </w:numPr>
        <w:spacing w:before="120" w:after="120" w:line="276" w:lineRule="auto"/>
        <w:rPr>
          <w:rFonts w:cs="Arial"/>
          <w:bCs/>
          <w:lang w:eastAsia="hu-HU"/>
        </w:rPr>
      </w:pPr>
      <w:r w:rsidRPr="00E94E2A">
        <w:rPr>
          <w:rFonts w:cs="Arial"/>
          <w:bCs/>
          <w:lang w:eastAsia="hu-HU"/>
        </w:rPr>
        <w:t xml:space="preserve">Really changing the behaviour of the organisation that receives it (incentive effect) </w:t>
      </w:r>
    </w:p>
    <w:p w:rsidR="0065702E" w:rsidRPr="00E94E2A" w:rsidRDefault="0065702E" w:rsidP="0065702E">
      <w:pPr>
        <w:pStyle w:val="ListParagraph"/>
        <w:numPr>
          <w:ilvl w:val="0"/>
          <w:numId w:val="15"/>
        </w:numPr>
        <w:spacing w:before="120" w:after="120" w:line="276" w:lineRule="auto"/>
        <w:rPr>
          <w:rFonts w:cs="Arial"/>
          <w:bCs/>
          <w:lang w:eastAsia="hu-HU"/>
        </w:rPr>
      </w:pPr>
      <w:r w:rsidRPr="00E94E2A">
        <w:rPr>
          <w:rFonts w:cs="Arial"/>
          <w:bCs/>
          <w:lang w:eastAsia="hu-HU"/>
        </w:rPr>
        <w:t xml:space="preserve">The best way to address the failure (appropriate) </w:t>
      </w:r>
    </w:p>
    <w:p w:rsidR="0065702E" w:rsidRPr="00E94E2A" w:rsidRDefault="0065702E" w:rsidP="0065702E">
      <w:pPr>
        <w:pStyle w:val="ListParagraph"/>
        <w:numPr>
          <w:ilvl w:val="0"/>
          <w:numId w:val="15"/>
        </w:numPr>
        <w:spacing w:before="120" w:after="120" w:line="276" w:lineRule="auto"/>
        <w:rPr>
          <w:rFonts w:cs="Arial"/>
          <w:bCs/>
          <w:lang w:eastAsia="hu-HU"/>
        </w:rPr>
      </w:pPr>
      <w:r w:rsidRPr="00E94E2A">
        <w:rPr>
          <w:rFonts w:cs="Arial"/>
          <w:bCs/>
          <w:lang w:eastAsia="hu-HU"/>
        </w:rPr>
        <w:t>Beneficial enough to outweigh any negative effects on competition (balancing test)</w:t>
      </w:r>
    </w:p>
    <w:p w:rsidR="0065702E" w:rsidRPr="00E94E2A" w:rsidRDefault="0065702E" w:rsidP="0065702E">
      <w:pPr>
        <w:spacing w:before="120" w:after="120"/>
        <w:rPr>
          <w:rFonts w:cs="Arial"/>
        </w:rPr>
      </w:pPr>
      <w:r w:rsidRPr="00E94E2A">
        <w:rPr>
          <w:rFonts w:cs="Arial"/>
        </w:rPr>
        <w:t>State aid can be given legally in two ways:</w:t>
      </w:r>
    </w:p>
    <w:p w:rsidR="0065702E" w:rsidRPr="00E94E2A" w:rsidRDefault="0065702E" w:rsidP="0065702E">
      <w:pPr>
        <w:pStyle w:val="ListParagraph"/>
        <w:numPr>
          <w:ilvl w:val="0"/>
          <w:numId w:val="17"/>
        </w:numPr>
        <w:spacing w:before="120" w:after="120" w:line="276" w:lineRule="auto"/>
        <w:rPr>
          <w:rFonts w:cs="Arial"/>
          <w:bCs/>
          <w:lang w:eastAsia="hu-HU"/>
        </w:rPr>
      </w:pPr>
      <w:r w:rsidRPr="00E94E2A">
        <w:rPr>
          <w:rFonts w:cs="Arial"/>
          <w:bCs/>
          <w:lang w:eastAsia="hu-HU"/>
        </w:rPr>
        <w:t>by seeking approval for the particular scheme from the EU Commission on the basis that it meets the above tests (the State aid approval process is resource intensive and involves risk to delivery of projects and policies); or</w:t>
      </w:r>
    </w:p>
    <w:p w:rsidR="0065702E" w:rsidRPr="00E94E2A" w:rsidRDefault="0065702E" w:rsidP="0065702E">
      <w:pPr>
        <w:pStyle w:val="ListParagraph"/>
        <w:numPr>
          <w:ilvl w:val="0"/>
          <w:numId w:val="17"/>
        </w:numPr>
        <w:spacing w:before="120" w:after="120" w:line="276" w:lineRule="auto"/>
        <w:rPr>
          <w:rFonts w:cs="Arial"/>
          <w:bCs/>
          <w:lang w:eastAsia="hu-HU"/>
        </w:rPr>
      </w:pPr>
      <w:proofErr w:type="gramStart"/>
      <w:r w:rsidRPr="00E94E2A">
        <w:rPr>
          <w:rFonts w:cs="Arial"/>
          <w:bCs/>
          <w:lang w:eastAsia="hu-HU"/>
        </w:rPr>
        <w:t>by</w:t>
      </w:r>
      <w:proofErr w:type="gramEnd"/>
      <w:r w:rsidRPr="00E94E2A">
        <w:rPr>
          <w:rFonts w:cs="Arial"/>
          <w:bCs/>
          <w:lang w:eastAsia="hu-HU"/>
        </w:rPr>
        <w:t xml:space="preserve"> complying with one of a set of approved EU mechanisms for state aid (the </w:t>
      </w:r>
      <w:r w:rsidRPr="00E94E2A">
        <w:rPr>
          <w:rFonts w:cs="Arial"/>
          <w:b/>
          <w:bCs/>
          <w:lang w:eastAsia="hu-HU"/>
        </w:rPr>
        <w:t>De minimis</w:t>
      </w:r>
      <w:r w:rsidRPr="00E94E2A">
        <w:rPr>
          <w:rFonts w:cs="Arial"/>
          <w:bCs/>
          <w:lang w:eastAsia="hu-HU"/>
        </w:rPr>
        <w:t xml:space="preserve"> regulation or </w:t>
      </w:r>
      <w:r w:rsidRPr="00E94E2A">
        <w:rPr>
          <w:rFonts w:cs="Arial"/>
          <w:b/>
          <w:bCs/>
          <w:lang w:eastAsia="hu-HU"/>
        </w:rPr>
        <w:t>block exemption regulation</w:t>
      </w:r>
      <w:r w:rsidRPr="00E94E2A">
        <w:rPr>
          <w:rFonts w:cs="Arial"/>
          <w:bCs/>
          <w:lang w:eastAsia="hu-HU"/>
        </w:rPr>
        <w:t xml:space="preserve"> in the first instance).</w:t>
      </w:r>
    </w:p>
    <w:p w:rsidR="0065702E" w:rsidRPr="00E94E2A" w:rsidRDefault="0065702E" w:rsidP="006F2FBA">
      <w:pPr>
        <w:pStyle w:val="Heading3"/>
      </w:pPr>
      <w:r w:rsidRPr="00E94E2A">
        <w:t xml:space="preserve">De minimis </w:t>
      </w:r>
    </w:p>
    <w:p w:rsidR="0065702E" w:rsidRPr="00E94E2A" w:rsidRDefault="0065702E" w:rsidP="0065702E">
      <w:pPr>
        <w:spacing w:before="120" w:after="120"/>
        <w:rPr>
          <w:rFonts w:cs="Arial"/>
        </w:rPr>
      </w:pPr>
      <w:r w:rsidRPr="00E94E2A">
        <w:rPr>
          <w:rFonts w:cs="Arial"/>
        </w:rPr>
        <w:t xml:space="preserve">A useful approved EU mechanism for State aid is the de minimis regulation, based on the Commission’s view that small amounts of aid are unlikely to distort competition. The De Minimis Regulation allows small amounts of aid – less than €200,000 over 3 rolling years – to be given to an undertaking for a wide range of purposes. If you use this mechanism, you don’t need to notify or get approval, but records of aid granted must be kept and all the rules of the de minimis regulation must be followed. </w:t>
      </w:r>
    </w:p>
    <w:p w:rsidR="0065702E" w:rsidRPr="00E94E2A" w:rsidRDefault="0065702E" w:rsidP="0065702E">
      <w:pPr>
        <w:spacing w:before="120" w:after="120"/>
        <w:rPr>
          <w:rFonts w:cs="Arial"/>
        </w:rPr>
      </w:pPr>
      <w:r w:rsidRPr="00E94E2A">
        <w:rPr>
          <w:rFonts w:cs="Arial"/>
        </w:rPr>
        <w:t>Please note, that you as a Beneficiary has €200,000 de-minimis ceiling per Member State. It means that if you get €200,000 de-minimis aid from the programme, it will decrease your Hungarian de-minimis with €100,000 and the Slovakian with €100,000.</w:t>
      </w:r>
    </w:p>
    <w:p w:rsidR="0065702E" w:rsidRPr="00E94E2A" w:rsidRDefault="0065702E" w:rsidP="0065702E">
      <w:pPr>
        <w:spacing w:before="120" w:after="120"/>
        <w:rPr>
          <w:rFonts w:cs="Arial"/>
        </w:rPr>
      </w:pPr>
    </w:p>
    <w:p w:rsidR="0065702E" w:rsidRPr="00E94E2A" w:rsidRDefault="0065702E" w:rsidP="0065702E">
      <w:pPr>
        <w:spacing w:before="120" w:after="120"/>
        <w:rPr>
          <w:rFonts w:cs="Arial"/>
        </w:rPr>
      </w:pPr>
      <w:r w:rsidRPr="00E94E2A">
        <w:rPr>
          <w:rFonts w:cs="Arial"/>
        </w:rPr>
        <w:t>Please note, that in the case of mergers or acquisitions, all prior de minimis aid granted to any of the merging undertakings shall be taken into account in determining whether any new de minimis aid to the new or the acquiring undertaking exceeds the relevant ceiling. De minimis aid lawfully granted before the merger or acquisition shall remain lawful. If one undertaking splits into two or more separate undertakings, de minimis aid granted prior to the split shall be allocated to the undertaking that benefited from it, which is in principle the undertaking taking over the activities for which the de minimis aid was used. If such an allocation is not possible, the de minimis aid shall be allocated proportionately on the basis of the book value of the equity capital of the new undertakings at the effective date of the split.</w:t>
      </w:r>
    </w:p>
    <w:p w:rsidR="0065702E" w:rsidRPr="00E94E2A" w:rsidRDefault="0065702E" w:rsidP="0065702E">
      <w:pPr>
        <w:spacing w:before="120" w:after="120"/>
        <w:rPr>
          <w:rFonts w:cs="Arial"/>
        </w:rPr>
      </w:pPr>
      <w:proofErr w:type="spellStart"/>
      <w:r w:rsidRPr="00E94E2A">
        <w:rPr>
          <w:rFonts w:cs="Arial"/>
        </w:rPr>
        <w:t>Cumulation</w:t>
      </w:r>
      <w:proofErr w:type="spellEnd"/>
      <w:r w:rsidRPr="00E94E2A">
        <w:rPr>
          <w:rFonts w:cs="Arial"/>
        </w:rPr>
        <w:t xml:space="preserve">: De </w:t>
      </w:r>
      <w:proofErr w:type="spellStart"/>
      <w:r w:rsidRPr="00E94E2A">
        <w:rPr>
          <w:rFonts w:cs="Arial"/>
        </w:rPr>
        <w:t>minimis</w:t>
      </w:r>
      <w:proofErr w:type="spellEnd"/>
      <w:r w:rsidRPr="00E94E2A">
        <w:rPr>
          <w:rFonts w:cs="Arial"/>
        </w:rPr>
        <w:t xml:space="preserve"> aid granted may be cumulated with de minimis aid granted in accordance with Commission Regulation (EU) No 360/2012</w:t>
      </w:r>
      <w:hyperlink r:id="rId9" w:anchor="ntr15-L_2013352EN.01000101-E0015" w:history="1">
        <w:r w:rsidRPr="00E94E2A">
          <w:rPr>
            <w:rFonts w:cs="Arial"/>
          </w:rPr>
          <w:t> (15)</w:t>
        </w:r>
      </w:hyperlink>
      <w:r w:rsidRPr="00E94E2A">
        <w:rPr>
          <w:rFonts w:cs="Arial"/>
        </w:rPr>
        <w:t xml:space="preserve"> up to the ceiling laid down in that Regulation. It may be cumulated with de minimis aid granted in accordance with other de minimis regulations up to the €200,000 ceiling.</w:t>
      </w:r>
    </w:p>
    <w:p w:rsidR="0065702E" w:rsidRPr="00E94E2A" w:rsidRDefault="0065702E" w:rsidP="0065702E">
      <w:pPr>
        <w:spacing w:before="120" w:after="120"/>
        <w:rPr>
          <w:rFonts w:cs="Arial"/>
        </w:rPr>
      </w:pPr>
      <w:r w:rsidRPr="00E94E2A">
        <w:rPr>
          <w:rFonts w:cs="Arial"/>
        </w:rPr>
        <w:t xml:space="preserve">De minimis aid shall not be cumulated with State aid in relation to the same eligible costs or with State aid for the same risk finance measure, if such </w:t>
      </w:r>
      <w:proofErr w:type="spellStart"/>
      <w:r w:rsidRPr="00E94E2A">
        <w:rPr>
          <w:rFonts w:cs="Arial"/>
        </w:rPr>
        <w:t>cumulation</w:t>
      </w:r>
      <w:proofErr w:type="spellEnd"/>
      <w:r w:rsidRPr="00E94E2A">
        <w:rPr>
          <w:rFonts w:cs="Arial"/>
        </w:rPr>
        <w:t xml:space="preserve"> would exceed the highest relevant aid intensity or aid amount fixed in the specific circumstances of each case by a block exemption regulation or a decision adopted by the Commission. De minimis aid which is not granted for or attributable to specific eligible costs may be cumulated with other State aid granted under a block exemption regulation or a decision adopted by the Commission.</w:t>
      </w:r>
    </w:p>
    <w:p w:rsidR="0065702E" w:rsidRPr="00E94E2A" w:rsidRDefault="0065702E" w:rsidP="0065702E">
      <w:pPr>
        <w:spacing w:before="120" w:after="120"/>
        <w:rPr>
          <w:rFonts w:cs="Arial"/>
        </w:rPr>
      </w:pPr>
      <w:r w:rsidRPr="00E94E2A">
        <w:rPr>
          <w:rFonts w:cs="Arial"/>
        </w:rPr>
        <w:t>Beneficiaries shall submit a de-minimis declaration with the Application and are obliged to retain the document connected to de-minimis aid for 10 years.</w:t>
      </w:r>
    </w:p>
    <w:p w:rsidR="0065702E" w:rsidRPr="00E94E2A" w:rsidRDefault="0065702E" w:rsidP="006F2FBA">
      <w:pPr>
        <w:pStyle w:val="Heading3"/>
      </w:pPr>
      <w:r w:rsidRPr="00E94E2A">
        <w:t>The General Block Exemption Regulation (GBER)</w:t>
      </w:r>
    </w:p>
    <w:p w:rsidR="0065702E" w:rsidRPr="00E94E2A" w:rsidRDefault="0065702E" w:rsidP="0065702E">
      <w:pPr>
        <w:spacing w:before="120" w:after="120"/>
        <w:rPr>
          <w:rFonts w:cs="Arial"/>
        </w:rPr>
      </w:pPr>
      <w:r w:rsidRPr="00E94E2A">
        <w:rPr>
          <w:rFonts w:cs="Arial"/>
        </w:rPr>
        <w:t>The GBER is a useful mechanism. It provides a simple way of providing assistance for a range of aid measures considered not to unduly distort competition. If you use this mechanism, you don’t need prior approval, but you must notify the Commission. The GBER shall not apply to all sectors of the economy; e.g.: in fisheries and aquaculture, agriculture, for companies in difficulties, for export-related activities, etc.</w:t>
      </w:r>
    </w:p>
    <w:p w:rsidR="0065702E" w:rsidRPr="00E94E2A" w:rsidRDefault="0065702E" w:rsidP="0065702E">
      <w:pPr>
        <w:spacing w:before="120" w:after="120"/>
        <w:rPr>
          <w:rFonts w:cs="Arial"/>
        </w:rPr>
      </w:pPr>
      <w:r w:rsidRPr="00E94E2A">
        <w:rPr>
          <w:rFonts w:cs="Arial"/>
        </w:rPr>
        <w:t>Applicable GBER categories in Interreg V-A Slovakia-Hungary Cooperation Programme</w:t>
      </w:r>
    </w:p>
    <w:p w:rsidR="0065702E" w:rsidRPr="00E94E2A" w:rsidRDefault="0065702E" w:rsidP="0065702E">
      <w:pPr>
        <w:pStyle w:val="Heading4"/>
        <w:keepNext/>
        <w:keepLines/>
        <w:numPr>
          <w:ilvl w:val="0"/>
          <w:numId w:val="18"/>
        </w:numPr>
        <w:spacing w:before="200" w:after="0" w:line="276" w:lineRule="auto"/>
        <w:rPr>
          <w:rFonts w:cs="Arial"/>
        </w:rPr>
      </w:pPr>
      <w:r w:rsidRPr="00E94E2A">
        <w:rPr>
          <w:rFonts w:cs="Arial"/>
        </w:rPr>
        <w:t>Regional Investment Aid (Article 14)</w:t>
      </w:r>
    </w:p>
    <w:p w:rsidR="0065702E" w:rsidRPr="00E94E2A" w:rsidRDefault="0065702E" w:rsidP="0065702E">
      <w:pPr>
        <w:spacing w:before="120" w:after="120"/>
        <w:rPr>
          <w:rFonts w:cs="Arial"/>
        </w:rPr>
      </w:pPr>
      <w:r w:rsidRPr="00E94E2A">
        <w:rPr>
          <w:rFonts w:cs="Arial"/>
        </w:rPr>
        <w:t>Regional aid is to promote the development of the less-favoured regions mainly by supporting initial investment. Eligible regions are designated in a regional aid map, where the standard of living is abnormally low or where there is serious underemployment or defined on the basis of national indicators proposed by the Member States. Regional aid cannot be given under GBER to steel sector, coal sector, energy generation, distribution, and infrastructure, synthetic fibres sector, shipbuilding, transport sector and related infrastructure.</w:t>
      </w:r>
    </w:p>
    <w:p w:rsidR="0065702E" w:rsidRPr="00E94E2A" w:rsidRDefault="0065702E" w:rsidP="0065702E">
      <w:pPr>
        <w:spacing w:before="120" w:after="120"/>
        <w:rPr>
          <w:rFonts w:cs="Arial"/>
        </w:rPr>
      </w:pPr>
      <w:r w:rsidRPr="00E94E2A">
        <w:rPr>
          <w:rFonts w:cs="Arial"/>
        </w:rPr>
        <w:t>In assisted areas fulfilling the conditions of Article 107(3</w:t>
      </w:r>
      <w:proofErr w:type="gramStart"/>
      <w:r w:rsidRPr="00E94E2A">
        <w:rPr>
          <w:rFonts w:cs="Arial"/>
        </w:rPr>
        <w:t>)(</w:t>
      </w:r>
      <w:proofErr w:type="gramEnd"/>
      <w:r w:rsidRPr="00E94E2A">
        <w:rPr>
          <w:rFonts w:cs="Arial"/>
        </w:rPr>
        <w:t>a) of the Treaty the aid may be granted for an initial investment regardless of the size of the beneficiary. Assisted areas established according to Article 107(3</w:t>
      </w:r>
      <w:proofErr w:type="gramStart"/>
      <w:r w:rsidRPr="00E94E2A">
        <w:rPr>
          <w:rFonts w:cs="Arial"/>
        </w:rPr>
        <w:t>)(</w:t>
      </w:r>
      <w:proofErr w:type="gramEnd"/>
      <w:r w:rsidRPr="00E94E2A">
        <w:rPr>
          <w:rFonts w:cs="Arial"/>
        </w:rPr>
        <w:t xml:space="preserve">a) of the Treaty and the maximum support in the eligible area: </w:t>
      </w:r>
    </w:p>
    <w:p w:rsidR="0065702E" w:rsidRPr="00E94E2A" w:rsidRDefault="0065702E" w:rsidP="0065702E">
      <w:pPr>
        <w:pStyle w:val="ListParagraph"/>
        <w:numPr>
          <w:ilvl w:val="0"/>
          <w:numId w:val="20"/>
        </w:numPr>
        <w:spacing w:before="120" w:after="120" w:line="276" w:lineRule="auto"/>
        <w:rPr>
          <w:rFonts w:cs="Arial"/>
        </w:rPr>
      </w:pPr>
      <w:r w:rsidRPr="00E94E2A">
        <w:rPr>
          <w:rFonts w:cs="Arial"/>
        </w:rPr>
        <w:t>Győr-Moson-Sopron megye, Trnavský samosprávny kraj, Nitriansky samosprávny kraj: 25%</w:t>
      </w:r>
    </w:p>
    <w:p w:rsidR="0065702E" w:rsidRPr="00E94E2A" w:rsidRDefault="0065702E" w:rsidP="0065702E">
      <w:pPr>
        <w:pStyle w:val="ListParagraph"/>
        <w:numPr>
          <w:ilvl w:val="0"/>
          <w:numId w:val="20"/>
        </w:numPr>
        <w:spacing w:before="120" w:after="120" w:line="276" w:lineRule="auto"/>
        <w:rPr>
          <w:rFonts w:cs="Arial"/>
        </w:rPr>
      </w:pPr>
      <w:r w:rsidRPr="00E94E2A">
        <w:rPr>
          <w:rFonts w:cs="Arial"/>
        </w:rPr>
        <w:t>Banskobystrický samosprávny kraj, Košický samosprávny kraj, Komárom-Esztergom megye: 35%</w:t>
      </w:r>
    </w:p>
    <w:p w:rsidR="0065702E" w:rsidRPr="00E94E2A" w:rsidRDefault="0065702E" w:rsidP="0065702E">
      <w:pPr>
        <w:pStyle w:val="ListParagraph"/>
        <w:numPr>
          <w:ilvl w:val="0"/>
          <w:numId w:val="20"/>
        </w:numPr>
        <w:spacing w:before="120" w:after="120" w:line="276" w:lineRule="auto"/>
        <w:rPr>
          <w:rFonts w:cs="Arial"/>
        </w:rPr>
      </w:pPr>
      <w:r w:rsidRPr="00E94E2A">
        <w:rPr>
          <w:rFonts w:cs="Arial"/>
        </w:rPr>
        <w:t>Nógrád megye, Heves megye, Borsod-Abaúj-Zemplén megye and Szabolcs-Szatmár-Bereg megye: 50%</w:t>
      </w:r>
    </w:p>
    <w:p w:rsidR="0065702E" w:rsidRPr="00E94E2A" w:rsidRDefault="0065702E" w:rsidP="0065702E">
      <w:pPr>
        <w:spacing w:before="120" w:after="120"/>
        <w:rPr>
          <w:rFonts w:cs="Arial"/>
        </w:rPr>
      </w:pPr>
      <w:r w:rsidRPr="00E94E2A">
        <w:rPr>
          <w:rFonts w:cs="Arial"/>
        </w:rPr>
        <w:t>In assisted areas fulfilling the conditions of Article 107(3</w:t>
      </w:r>
      <w:proofErr w:type="gramStart"/>
      <w:r w:rsidRPr="00E94E2A">
        <w:rPr>
          <w:rFonts w:cs="Arial"/>
        </w:rPr>
        <w:t>)(</w:t>
      </w:r>
      <w:proofErr w:type="gramEnd"/>
      <w:r w:rsidRPr="00E94E2A">
        <w:rPr>
          <w:rFonts w:cs="Arial"/>
        </w:rPr>
        <w:t>c) of the Treaty the aid may be granted to SMEs for any form of initial investment. Aid to large enterprises shall only be granted for an initial investment in favour of new economic activity in the area concerned. Assisted areas established according to Article 107(3</w:t>
      </w:r>
      <w:proofErr w:type="gramStart"/>
      <w:r w:rsidRPr="00E94E2A">
        <w:rPr>
          <w:rFonts w:cs="Arial"/>
        </w:rPr>
        <w:t>)(</w:t>
      </w:r>
      <w:proofErr w:type="gramEnd"/>
      <w:r w:rsidRPr="00E94E2A">
        <w:rPr>
          <w:rFonts w:cs="Arial"/>
        </w:rPr>
        <w:t>c) of the Treaty and the maximum support:</w:t>
      </w:r>
    </w:p>
    <w:p w:rsidR="0065702E" w:rsidRPr="00E94E2A" w:rsidRDefault="0065702E" w:rsidP="0065702E">
      <w:pPr>
        <w:pStyle w:val="ListParagraph"/>
        <w:numPr>
          <w:ilvl w:val="0"/>
          <w:numId w:val="21"/>
        </w:numPr>
        <w:spacing w:before="120" w:after="120" w:line="276" w:lineRule="auto"/>
        <w:rPr>
          <w:rFonts w:cs="Arial"/>
        </w:rPr>
      </w:pPr>
      <w:r w:rsidRPr="00E94E2A">
        <w:rPr>
          <w:rFonts w:cs="Arial"/>
        </w:rPr>
        <w:t>part of Pest megye</w:t>
      </w:r>
      <w:r w:rsidRPr="00E94E2A">
        <w:rPr>
          <w:rStyle w:val="FootnoteReference"/>
          <w:rFonts w:cs="Arial"/>
        </w:rPr>
        <w:footnoteReference w:id="3"/>
      </w:r>
      <w:r w:rsidRPr="00E94E2A">
        <w:rPr>
          <w:rFonts w:cs="Arial"/>
        </w:rPr>
        <w:t xml:space="preserve"> with the rate of </w:t>
      </w:r>
      <w:proofErr w:type="spellStart"/>
      <w:r w:rsidRPr="00E94E2A">
        <w:rPr>
          <w:rFonts w:cs="Arial"/>
        </w:rPr>
        <w:t>suport</w:t>
      </w:r>
      <w:proofErr w:type="spellEnd"/>
      <w:r w:rsidRPr="00E94E2A">
        <w:rPr>
          <w:rFonts w:cs="Arial"/>
        </w:rPr>
        <w:t xml:space="preserve"> of 35% </w:t>
      </w:r>
    </w:p>
    <w:p w:rsidR="0065702E" w:rsidRPr="00E94E2A" w:rsidRDefault="0065702E" w:rsidP="0065702E">
      <w:pPr>
        <w:pStyle w:val="ListParagraph"/>
        <w:numPr>
          <w:ilvl w:val="0"/>
          <w:numId w:val="21"/>
        </w:numPr>
        <w:spacing w:before="120" w:after="120" w:line="276" w:lineRule="auto"/>
        <w:rPr>
          <w:rFonts w:cs="Arial"/>
        </w:rPr>
      </w:pPr>
      <w:r w:rsidRPr="00E94E2A">
        <w:rPr>
          <w:rFonts w:cs="Arial"/>
        </w:rPr>
        <w:t>part of Pest megye</w:t>
      </w:r>
      <w:r w:rsidRPr="00E94E2A">
        <w:rPr>
          <w:rStyle w:val="FootnoteReference"/>
          <w:rFonts w:cs="Arial"/>
        </w:rPr>
        <w:footnoteReference w:id="4"/>
      </w:r>
      <w:r w:rsidRPr="00E94E2A">
        <w:rPr>
          <w:rFonts w:cs="Arial"/>
        </w:rPr>
        <w:t xml:space="preserve">: with the rate of </w:t>
      </w:r>
      <w:proofErr w:type="spellStart"/>
      <w:r w:rsidRPr="00E94E2A">
        <w:rPr>
          <w:rFonts w:cs="Arial"/>
        </w:rPr>
        <w:t>suport</w:t>
      </w:r>
      <w:proofErr w:type="spellEnd"/>
      <w:r w:rsidRPr="00E94E2A">
        <w:rPr>
          <w:rFonts w:cs="Arial"/>
        </w:rPr>
        <w:t xml:space="preserve"> of 20%</w:t>
      </w:r>
    </w:p>
    <w:p w:rsidR="0065702E" w:rsidRPr="00E94E2A" w:rsidRDefault="0065702E" w:rsidP="0065702E">
      <w:pPr>
        <w:spacing w:before="120" w:after="120"/>
        <w:rPr>
          <w:rFonts w:cs="Arial"/>
        </w:rPr>
      </w:pPr>
      <w:r w:rsidRPr="00E94E2A">
        <w:rPr>
          <w:rFonts w:cs="Arial"/>
        </w:rPr>
        <w:t xml:space="preserve">The aid </w:t>
      </w:r>
      <w:r w:rsidRPr="00E94E2A">
        <w:rPr>
          <w:rFonts w:cs="Arial"/>
          <w:b/>
        </w:rPr>
        <w:t>beneficiary must provide a financial contribution of at least 25% of the eligible costs</w:t>
      </w:r>
      <w:r w:rsidRPr="00E94E2A">
        <w:rPr>
          <w:rFonts w:cs="Arial"/>
        </w:rPr>
        <w:t>, either through its own resources or by external financing, in a form, which is free of any public support.</w:t>
      </w:r>
    </w:p>
    <w:p w:rsidR="0065702E" w:rsidRPr="00E94E2A" w:rsidRDefault="0065702E" w:rsidP="0065702E">
      <w:pPr>
        <w:spacing w:before="120" w:after="120"/>
        <w:rPr>
          <w:rFonts w:cs="Arial"/>
        </w:rPr>
      </w:pPr>
      <w:r w:rsidRPr="00E94E2A">
        <w:rPr>
          <w:rFonts w:cs="Arial"/>
        </w:rPr>
        <w:t>The intensity of support can be raised by 10% point in the case of medium-sized enterprises, and 20% point in the case of small enterprises.</w:t>
      </w:r>
    </w:p>
    <w:p w:rsidR="0065702E" w:rsidRPr="00E94E2A" w:rsidRDefault="0065702E" w:rsidP="0065702E">
      <w:pPr>
        <w:spacing w:before="120" w:after="120"/>
        <w:rPr>
          <w:rFonts w:cs="Arial"/>
        </w:rPr>
      </w:pPr>
      <w:r w:rsidRPr="00E94E2A">
        <w:rPr>
          <w:rFonts w:cs="Arial"/>
        </w:rPr>
        <w:t>The aid intensity of the area in which the initial investment</w:t>
      </w:r>
      <w:r w:rsidRPr="00E94E2A">
        <w:rPr>
          <w:rStyle w:val="FootnoteReference"/>
          <w:rFonts w:cs="Arial"/>
        </w:rPr>
        <w:footnoteReference w:id="5"/>
      </w:r>
      <w:r w:rsidRPr="00E94E2A">
        <w:rPr>
          <w:rFonts w:cs="Arial"/>
        </w:rPr>
        <w:t xml:space="preserve"> is located shall apply to all beneficiaries participating in the project. If the initial investment is located in two or more assisted areas, the maximum aid intensity shall be the one applicable in the assisted area where the highest amount of eligible costs is incurred.</w:t>
      </w:r>
    </w:p>
    <w:p w:rsidR="0065702E" w:rsidRPr="00E94E2A" w:rsidRDefault="0065702E" w:rsidP="0065702E">
      <w:pPr>
        <w:spacing w:before="120" w:after="120"/>
        <w:rPr>
          <w:rFonts w:cs="Arial"/>
          <w:i/>
          <w:u w:val="single"/>
        </w:rPr>
      </w:pPr>
      <w:r w:rsidRPr="00E94E2A">
        <w:rPr>
          <w:rFonts w:cs="Arial"/>
          <w:i/>
          <w:u w:val="single"/>
        </w:rPr>
        <w:t>The eligible costs shall be as follows:</w:t>
      </w:r>
    </w:p>
    <w:p w:rsidR="0065702E" w:rsidRPr="00E94E2A" w:rsidRDefault="0065702E" w:rsidP="0065702E">
      <w:pPr>
        <w:spacing w:before="120" w:after="120"/>
        <w:rPr>
          <w:rFonts w:cs="Arial"/>
        </w:rPr>
      </w:pPr>
      <w:r w:rsidRPr="00E94E2A">
        <w:rPr>
          <w:rFonts w:cs="Arial"/>
        </w:rPr>
        <w:t xml:space="preserve">(a) </w:t>
      </w:r>
      <w:proofErr w:type="gramStart"/>
      <w:r w:rsidRPr="00E94E2A">
        <w:rPr>
          <w:rFonts w:cs="Arial"/>
        </w:rPr>
        <w:t>investment</w:t>
      </w:r>
      <w:proofErr w:type="gramEnd"/>
      <w:r w:rsidRPr="00E94E2A">
        <w:rPr>
          <w:rFonts w:cs="Arial"/>
        </w:rPr>
        <w:t xml:space="preserve"> costs in tangible and intangible assets;</w:t>
      </w:r>
    </w:p>
    <w:p w:rsidR="0065702E" w:rsidRPr="00E94E2A" w:rsidRDefault="0065702E" w:rsidP="0065702E">
      <w:pPr>
        <w:spacing w:before="120" w:after="120"/>
        <w:rPr>
          <w:rFonts w:cs="Arial"/>
        </w:rPr>
      </w:pPr>
      <w:r w:rsidRPr="00E94E2A">
        <w:rPr>
          <w:rFonts w:cs="Arial"/>
        </w:rPr>
        <w:t>(b) the estimated wage costs arising from job creation as a result of an initial investment, calculated over a period of two years; or</w:t>
      </w:r>
    </w:p>
    <w:p w:rsidR="0065702E" w:rsidRPr="00E94E2A" w:rsidRDefault="0065702E" w:rsidP="0065702E">
      <w:pPr>
        <w:spacing w:before="120" w:after="120"/>
        <w:rPr>
          <w:rFonts w:cs="Arial"/>
        </w:rPr>
      </w:pPr>
      <w:r w:rsidRPr="00E94E2A">
        <w:rPr>
          <w:rFonts w:cs="Arial"/>
        </w:rPr>
        <w:t xml:space="preserve">(c) </w:t>
      </w:r>
      <w:proofErr w:type="gramStart"/>
      <w:r w:rsidRPr="00E94E2A">
        <w:rPr>
          <w:rFonts w:cs="Arial"/>
        </w:rPr>
        <w:t>a</w:t>
      </w:r>
      <w:proofErr w:type="gramEnd"/>
      <w:r w:rsidRPr="00E94E2A">
        <w:rPr>
          <w:rFonts w:cs="Arial"/>
        </w:rPr>
        <w:t xml:space="preserve"> combination of points (a) and (b) not exceeding the amount of (a) or (b), whichever is higher.</w:t>
      </w:r>
    </w:p>
    <w:p w:rsidR="0065702E" w:rsidRPr="00E94E2A" w:rsidRDefault="0065702E" w:rsidP="0065702E">
      <w:pPr>
        <w:spacing w:before="100" w:beforeAutospacing="1" w:after="100" w:afterAutospacing="1" w:line="240" w:lineRule="auto"/>
        <w:rPr>
          <w:rFonts w:cs="Arial"/>
          <w:u w:val="single"/>
        </w:rPr>
      </w:pPr>
      <w:r w:rsidRPr="00E94E2A">
        <w:rPr>
          <w:rFonts w:cs="Arial"/>
          <w:u w:val="single"/>
        </w:rPr>
        <w:t>This type of Aid shall not apply to:</w:t>
      </w:r>
    </w:p>
    <w:tbl>
      <w:tblPr>
        <w:tblW w:w="5000" w:type="pct"/>
        <w:tblCellSpacing w:w="0" w:type="dxa"/>
        <w:tblCellMar>
          <w:left w:w="0" w:type="dxa"/>
          <w:right w:w="0" w:type="dxa"/>
        </w:tblCellMar>
        <w:tblLook w:val="04A0" w:firstRow="1" w:lastRow="0" w:firstColumn="1" w:lastColumn="0" w:noHBand="0" w:noVBand="1"/>
      </w:tblPr>
      <w:tblGrid>
        <w:gridCol w:w="245"/>
        <w:gridCol w:w="8826"/>
      </w:tblGrid>
      <w:tr w:rsidR="0065702E" w:rsidRPr="00E94E2A" w:rsidTr="00F179D4">
        <w:trPr>
          <w:tblCellSpacing w:w="0" w:type="dxa"/>
        </w:trPr>
        <w:tc>
          <w:tcPr>
            <w:tcW w:w="0" w:type="auto"/>
            <w:hideMark/>
          </w:tcPr>
          <w:p w:rsidR="0065702E" w:rsidRPr="00E94E2A" w:rsidRDefault="0065702E" w:rsidP="00F179D4">
            <w:pPr>
              <w:spacing w:before="100" w:beforeAutospacing="1" w:after="100" w:afterAutospacing="1" w:line="240" w:lineRule="auto"/>
              <w:rPr>
                <w:rFonts w:cs="Arial"/>
              </w:rPr>
            </w:pPr>
            <w:r w:rsidRPr="00E94E2A">
              <w:rPr>
                <w:rFonts w:cs="Arial"/>
              </w:rPr>
              <w:t>(a)</w:t>
            </w:r>
          </w:p>
        </w:tc>
        <w:tc>
          <w:tcPr>
            <w:tcW w:w="0" w:type="auto"/>
            <w:hideMark/>
          </w:tcPr>
          <w:p w:rsidR="0065702E" w:rsidRPr="00E94E2A" w:rsidRDefault="0065702E" w:rsidP="00F179D4">
            <w:pPr>
              <w:spacing w:before="100" w:beforeAutospacing="1" w:after="100" w:afterAutospacing="1" w:line="240" w:lineRule="auto"/>
              <w:rPr>
                <w:rFonts w:cs="Arial"/>
              </w:rPr>
            </w:pPr>
            <w:r w:rsidRPr="00E94E2A">
              <w:rPr>
                <w:rFonts w:cs="Arial"/>
              </w:rPr>
              <w:t xml:space="preserve"> aid which favours activities in the steel sector, the coal sector, the shipbuilding sector, the synthetic fibres sector, the transport sector as well as the related infrastructure, energy generation, distribution and infrastructure;</w:t>
            </w:r>
          </w:p>
        </w:tc>
      </w:tr>
    </w:tbl>
    <w:p w:rsidR="0065702E" w:rsidRPr="00E94E2A" w:rsidRDefault="0065702E" w:rsidP="0065702E">
      <w:pPr>
        <w:spacing w:after="0" w:line="240" w:lineRule="auto"/>
        <w:rPr>
          <w:rFonts w:cs="Arial"/>
        </w:rPr>
      </w:pPr>
    </w:p>
    <w:tbl>
      <w:tblPr>
        <w:tblW w:w="5000" w:type="pct"/>
        <w:tblCellSpacing w:w="0" w:type="dxa"/>
        <w:tblCellMar>
          <w:left w:w="0" w:type="dxa"/>
          <w:right w:w="0" w:type="dxa"/>
        </w:tblCellMar>
        <w:tblLook w:val="04A0" w:firstRow="1" w:lastRow="0" w:firstColumn="1" w:lastColumn="0" w:noHBand="0" w:noVBand="1"/>
      </w:tblPr>
      <w:tblGrid>
        <w:gridCol w:w="245"/>
        <w:gridCol w:w="8826"/>
      </w:tblGrid>
      <w:tr w:rsidR="0065702E" w:rsidRPr="00E94E2A" w:rsidTr="00F179D4">
        <w:trPr>
          <w:tblCellSpacing w:w="0" w:type="dxa"/>
        </w:trPr>
        <w:tc>
          <w:tcPr>
            <w:tcW w:w="0" w:type="auto"/>
            <w:hideMark/>
          </w:tcPr>
          <w:p w:rsidR="0065702E" w:rsidRPr="00E94E2A" w:rsidRDefault="0065702E" w:rsidP="00F179D4">
            <w:pPr>
              <w:spacing w:before="100" w:beforeAutospacing="1" w:after="100" w:afterAutospacing="1" w:line="240" w:lineRule="auto"/>
              <w:rPr>
                <w:rFonts w:cs="Arial"/>
              </w:rPr>
            </w:pPr>
            <w:r w:rsidRPr="00E94E2A">
              <w:rPr>
                <w:rFonts w:cs="Arial"/>
              </w:rPr>
              <w:t>(b)</w:t>
            </w:r>
          </w:p>
        </w:tc>
        <w:tc>
          <w:tcPr>
            <w:tcW w:w="0" w:type="auto"/>
            <w:hideMark/>
          </w:tcPr>
          <w:p w:rsidR="0065702E" w:rsidRPr="00E94E2A" w:rsidRDefault="0065702E" w:rsidP="00F179D4">
            <w:pPr>
              <w:spacing w:before="100" w:beforeAutospacing="1" w:after="100" w:afterAutospacing="1" w:line="240" w:lineRule="auto"/>
              <w:rPr>
                <w:rFonts w:cs="Arial"/>
              </w:rPr>
            </w:pPr>
            <w:r w:rsidRPr="00E94E2A">
              <w:rPr>
                <w:rFonts w:cs="Arial"/>
              </w:rPr>
              <w:t xml:space="preserve"> regional aid in the form of schemes which are targeted at a limited number of specific sectors of economic activity; schemes aimed at tourism activities, broadband infrastructures or processing and marketing of agricultural products are not considered to be targeted at specific sectors of economic activity;</w:t>
            </w:r>
          </w:p>
        </w:tc>
      </w:tr>
    </w:tbl>
    <w:p w:rsidR="0065702E" w:rsidRPr="00E94E2A" w:rsidRDefault="0065702E" w:rsidP="0065702E">
      <w:pPr>
        <w:spacing w:after="0" w:line="240" w:lineRule="auto"/>
        <w:rPr>
          <w:rFonts w:cs="Arial"/>
        </w:rPr>
      </w:pPr>
    </w:p>
    <w:tbl>
      <w:tblPr>
        <w:tblW w:w="5000" w:type="pct"/>
        <w:tblCellSpacing w:w="0" w:type="dxa"/>
        <w:tblCellMar>
          <w:left w:w="0" w:type="dxa"/>
          <w:right w:w="0" w:type="dxa"/>
        </w:tblCellMar>
        <w:tblLook w:val="04A0" w:firstRow="1" w:lastRow="0" w:firstColumn="1" w:lastColumn="0" w:noHBand="0" w:noVBand="1"/>
      </w:tblPr>
      <w:tblGrid>
        <w:gridCol w:w="234"/>
        <w:gridCol w:w="8837"/>
      </w:tblGrid>
      <w:tr w:rsidR="0065702E" w:rsidRPr="00E94E2A" w:rsidTr="00F179D4">
        <w:trPr>
          <w:tblCellSpacing w:w="0" w:type="dxa"/>
        </w:trPr>
        <w:tc>
          <w:tcPr>
            <w:tcW w:w="0" w:type="auto"/>
            <w:hideMark/>
          </w:tcPr>
          <w:p w:rsidR="0065702E" w:rsidRPr="00E94E2A" w:rsidRDefault="0065702E" w:rsidP="00F179D4">
            <w:pPr>
              <w:spacing w:before="100" w:beforeAutospacing="1" w:after="100" w:afterAutospacing="1" w:line="240" w:lineRule="auto"/>
              <w:rPr>
                <w:rFonts w:cs="Arial"/>
              </w:rPr>
            </w:pPr>
            <w:r w:rsidRPr="00E94E2A">
              <w:rPr>
                <w:rFonts w:cs="Arial"/>
              </w:rPr>
              <w:t>(c)</w:t>
            </w:r>
          </w:p>
        </w:tc>
        <w:tc>
          <w:tcPr>
            <w:tcW w:w="0" w:type="auto"/>
            <w:hideMark/>
          </w:tcPr>
          <w:p w:rsidR="0065702E" w:rsidRPr="00E94E2A" w:rsidRDefault="0065702E" w:rsidP="00F179D4">
            <w:pPr>
              <w:spacing w:before="100" w:beforeAutospacing="1" w:after="100" w:afterAutospacing="1" w:line="240" w:lineRule="auto"/>
              <w:rPr>
                <w:rFonts w:cs="Arial"/>
              </w:rPr>
            </w:pPr>
            <w:r w:rsidRPr="00E94E2A">
              <w:rPr>
                <w:rFonts w:cs="Arial"/>
              </w:rPr>
              <w:t xml:space="preserve"> regional aid in the form of schemes which compensate the transport costs of goods produced in the outermost regions or in sparsely populated areas and granted in favour of:</w:t>
            </w:r>
          </w:p>
          <w:tbl>
            <w:tblPr>
              <w:tblW w:w="5000" w:type="pct"/>
              <w:tblCellSpacing w:w="0" w:type="dxa"/>
              <w:tblCellMar>
                <w:left w:w="0" w:type="dxa"/>
                <w:right w:w="0" w:type="dxa"/>
              </w:tblCellMar>
              <w:tblLook w:val="04A0" w:firstRow="1" w:lastRow="0" w:firstColumn="1" w:lastColumn="0" w:noHBand="0" w:noVBand="1"/>
            </w:tblPr>
            <w:tblGrid>
              <w:gridCol w:w="178"/>
              <w:gridCol w:w="8659"/>
            </w:tblGrid>
            <w:tr w:rsidR="0065702E" w:rsidRPr="00E94E2A" w:rsidTr="00F179D4">
              <w:trPr>
                <w:tblCellSpacing w:w="0" w:type="dxa"/>
              </w:trPr>
              <w:tc>
                <w:tcPr>
                  <w:tcW w:w="0" w:type="auto"/>
                  <w:hideMark/>
                </w:tcPr>
                <w:p w:rsidR="0065702E" w:rsidRPr="00E94E2A" w:rsidRDefault="0065702E" w:rsidP="00F179D4">
                  <w:pPr>
                    <w:spacing w:before="100" w:beforeAutospacing="1" w:after="100" w:afterAutospacing="1" w:line="240" w:lineRule="auto"/>
                    <w:rPr>
                      <w:rFonts w:cs="Arial"/>
                    </w:rPr>
                  </w:pPr>
                  <w:r w:rsidRPr="00E94E2A">
                    <w:rPr>
                      <w:rFonts w:cs="Arial"/>
                    </w:rPr>
                    <w:t>(</w:t>
                  </w:r>
                  <w:proofErr w:type="spellStart"/>
                  <w:r w:rsidRPr="00E94E2A">
                    <w:rPr>
                      <w:rFonts w:cs="Arial"/>
                    </w:rPr>
                    <w:t>i</w:t>
                  </w:r>
                  <w:proofErr w:type="spellEnd"/>
                  <w:r w:rsidRPr="00E94E2A">
                    <w:rPr>
                      <w:rFonts w:cs="Arial"/>
                    </w:rPr>
                    <w:t>)</w:t>
                  </w:r>
                </w:p>
              </w:tc>
              <w:tc>
                <w:tcPr>
                  <w:tcW w:w="0" w:type="auto"/>
                  <w:hideMark/>
                </w:tcPr>
                <w:p w:rsidR="0065702E" w:rsidRPr="00E94E2A" w:rsidRDefault="0065702E" w:rsidP="00F179D4">
                  <w:pPr>
                    <w:spacing w:before="100" w:beforeAutospacing="1" w:after="100" w:afterAutospacing="1" w:line="240" w:lineRule="auto"/>
                    <w:rPr>
                      <w:rFonts w:cs="Arial"/>
                    </w:rPr>
                  </w:pPr>
                  <w:r w:rsidRPr="00E94E2A">
                    <w:rPr>
                      <w:rFonts w:cs="Arial"/>
                    </w:rPr>
                    <w:t>activities in the production, processing and marketing of products listed in Annex I to the Treaty; or</w:t>
                  </w:r>
                </w:p>
              </w:tc>
            </w:tr>
          </w:tbl>
          <w:p w:rsidR="0065702E" w:rsidRPr="00E94E2A" w:rsidRDefault="0065702E" w:rsidP="00F179D4">
            <w:pPr>
              <w:spacing w:after="0" w:line="240" w:lineRule="auto"/>
              <w:rPr>
                <w:rFonts w:cs="Arial"/>
              </w:rPr>
            </w:pPr>
          </w:p>
          <w:tbl>
            <w:tblPr>
              <w:tblW w:w="5000" w:type="pct"/>
              <w:tblCellSpacing w:w="0" w:type="dxa"/>
              <w:tblCellMar>
                <w:left w:w="0" w:type="dxa"/>
                <w:right w:w="0" w:type="dxa"/>
              </w:tblCellMar>
              <w:tblLook w:val="04A0" w:firstRow="1" w:lastRow="0" w:firstColumn="1" w:lastColumn="0" w:noHBand="0" w:noVBand="1"/>
            </w:tblPr>
            <w:tblGrid>
              <w:gridCol w:w="223"/>
              <w:gridCol w:w="8614"/>
            </w:tblGrid>
            <w:tr w:rsidR="0065702E" w:rsidRPr="00E94E2A" w:rsidTr="00F179D4">
              <w:trPr>
                <w:tblCellSpacing w:w="0" w:type="dxa"/>
              </w:trPr>
              <w:tc>
                <w:tcPr>
                  <w:tcW w:w="0" w:type="auto"/>
                  <w:hideMark/>
                </w:tcPr>
                <w:p w:rsidR="0065702E" w:rsidRPr="00E94E2A" w:rsidRDefault="0065702E" w:rsidP="00F179D4">
                  <w:pPr>
                    <w:spacing w:before="100" w:beforeAutospacing="1" w:after="100" w:afterAutospacing="1" w:line="240" w:lineRule="auto"/>
                    <w:rPr>
                      <w:rFonts w:cs="Arial"/>
                    </w:rPr>
                  </w:pPr>
                  <w:r w:rsidRPr="00E94E2A">
                    <w:rPr>
                      <w:rFonts w:cs="Arial"/>
                    </w:rPr>
                    <w:t>(ii)</w:t>
                  </w:r>
                </w:p>
              </w:tc>
              <w:tc>
                <w:tcPr>
                  <w:tcW w:w="0" w:type="auto"/>
                  <w:hideMark/>
                </w:tcPr>
                <w:p w:rsidR="0065702E" w:rsidRPr="00E94E2A" w:rsidRDefault="0065702E" w:rsidP="00F179D4">
                  <w:pPr>
                    <w:spacing w:before="100" w:beforeAutospacing="1" w:after="100" w:afterAutospacing="1" w:line="240" w:lineRule="auto"/>
                    <w:rPr>
                      <w:rFonts w:cs="Arial"/>
                    </w:rPr>
                  </w:pPr>
                  <w:r w:rsidRPr="00E94E2A">
                    <w:rPr>
                      <w:rFonts w:cs="Arial"/>
                    </w:rPr>
                    <w:t>activities classified in Regulation (EC) No 1893/2006 of the European Parliament and of the Council of 20 December 2006 establishing statistical classification of economic activities NACE Revision 2 and amending Council Regulation (EEC) No 3037/90 as well as certain EC Regulations on specific statistical domains</w:t>
                  </w:r>
                  <w:hyperlink r:id="rId10" w:anchor="ntr53-L_2014187EN.01000101-E0053" w:history="1">
                    <w:r w:rsidRPr="00E94E2A">
                      <w:rPr>
                        <w:rFonts w:cs="Arial"/>
                      </w:rPr>
                      <w:t> (53)</w:t>
                    </w:r>
                  </w:hyperlink>
                  <w:r w:rsidRPr="00E94E2A">
                    <w:rPr>
                      <w:rFonts w:cs="Arial"/>
                    </w:rPr>
                    <w:t xml:space="preserve"> as agriculture, forestry and fishing under section A of the NACE Rev. 2 statistical classification of economic activities, mining and quarrying under section B of the NACE Rev. 2 and electricity, gas, steam and air conditioning supply under section D of the NACE Rev. 2; or</w:t>
                  </w:r>
                </w:p>
              </w:tc>
            </w:tr>
          </w:tbl>
          <w:p w:rsidR="0065702E" w:rsidRPr="00E94E2A" w:rsidRDefault="0065702E" w:rsidP="00F179D4">
            <w:pPr>
              <w:spacing w:after="0" w:line="240" w:lineRule="auto"/>
              <w:rPr>
                <w:rFonts w:cs="Arial"/>
              </w:rPr>
            </w:pPr>
          </w:p>
          <w:tbl>
            <w:tblPr>
              <w:tblW w:w="5000" w:type="pct"/>
              <w:tblCellSpacing w:w="0" w:type="dxa"/>
              <w:tblCellMar>
                <w:left w:w="0" w:type="dxa"/>
                <w:right w:w="0" w:type="dxa"/>
              </w:tblCellMar>
              <w:tblLook w:val="04A0" w:firstRow="1" w:lastRow="0" w:firstColumn="1" w:lastColumn="0" w:noHBand="0" w:noVBand="1"/>
            </w:tblPr>
            <w:tblGrid>
              <w:gridCol w:w="801"/>
              <w:gridCol w:w="8036"/>
            </w:tblGrid>
            <w:tr w:rsidR="0065702E" w:rsidRPr="00E94E2A" w:rsidTr="00F179D4">
              <w:trPr>
                <w:tblCellSpacing w:w="0" w:type="dxa"/>
              </w:trPr>
              <w:tc>
                <w:tcPr>
                  <w:tcW w:w="0" w:type="auto"/>
                  <w:hideMark/>
                </w:tcPr>
                <w:p w:rsidR="0065702E" w:rsidRPr="00E94E2A" w:rsidRDefault="0065702E" w:rsidP="00F179D4">
                  <w:pPr>
                    <w:spacing w:before="100" w:beforeAutospacing="1" w:after="100" w:afterAutospacing="1" w:line="240" w:lineRule="auto"/>
                    <w:rPr>
                      <w:rFonts w:cs="Arial"/>
                    </w:rPr>
                  </w:pPr>
                  <w:r w:rsidRPr="00E94E2A">
                    <w:rPr>
                      <w:rFonts w:cs="Arial"/>
                    </w:rPr>
                    <w:t>(iii)</w:t>
                  </w:r>
                </w:p>
              </w:tc>
              <w:tc>
                <w:tcPr>
                  <w:tcW w:w="0" w:type="auto"/>
                  <w:hideMark/>
                </w:tcPr>
                <w:p w:rsidR="0065702E" w:rsidRPr="00E94E2A" w:rsidRDefault="0065702E" w:rsidP="00F179D4">
                  <w:pPr>
                    <w:spacing w:before="100" w:beforeAutospacing="1" w:after="100" w:afterAutospacing="1" w:line="240" w:lineRule="auto"/>
                    <w:rPr>
                      <w:rFonts w:cs="Arial"/>
                    </w:rPr>
                  </w:pPr>
                  <w:r w:rsidRPr="00E94E2A">
                    <w:rPr>
                      <w:rFonts w:cs="Arial"/>
                    </w:rPr>
                    <w:t>transport of goods by pipeline;</w:t>
                  </w:r>
                </w:p>
              </w:tc>
            </w:tr>
          </w:tbl>
          <w:p w:rsidR="0065702E" w:rsidRPr="00E94E2A" w:rsidRDefault="0065702E" w:rsidP="00F179D4">
            <w:pPr>
              <w:spacing w:after="0" w:line="240" w:lineRule="auto"/>
              <w:rPr>
                <w:rFonts w:cs="Arial"/>
              </w:rPr>
            </w:pPr>
          </w:p>
        </w:tc>
      </w:tr>
    </w:tbl>
    <w:p w:rsidR="0065702E" w:rsidRPr="00E94E2A" w:rsidRDefault="0065702E" w:rsidP="0065702E">
      <w:pPr>
        <w:spacing w:after="0" w:line="240" w:lineRule="auto"/>
        <w:rPr>
          <w:rFonts w:cs="Arial"/>
        </w:rPr>
      </w:pPr>
    </w:p>
    <w:tbl>
      <w:tblPr>
        <w:tblW w:w="5000" w:type="pct"/>
        <w:tblCellSpacing w:w="0" w:type="dxa"/>
        <w:tblCellMar>
          <w:left w:w="0" w:type="dxa"/>
          <w:right w:w="0" w:type="dxa"/>
        </w:tblCellMar>
        <w:tblLook w:val="04A0" w:firstRow="1" w:lastRow="0" w:firstColumn="1" w:lastColumn="0" w:noHBand="0" w:noVBand="1"/>
      </w:tblPr>
      <w:tblGrid>
        <w:gridCol w:w="245"/>
        <w:gridCol w:w="8826"/>
      </w:tblGrid>
      <w:tr w:rsidR="0065702E" w:rsidRPr="00E94E2A" w:rsidTr="00F179D4">
        <w:trPr>
          <w:tblCellSpacing w:w="0" w:type="dxa"/>
        </w:trPr>
        <w:tc>
          <w:tcPr>
            <w:tcW w:w="0" w:type="auto"/>
            <w:hideMark/>
          </w:tcPr>
          <w:p w:rsidR="0065702E" w:rsidRPr="00E94E2A" w:rsidRDefault="0065702E" w:rsidP="00F179D4">
            <w:pPr>
              <w:spacing w:before="100" w:beforeAutospacing="1" w:after="100" w:afterAutospacing="1" w:line="240" w:lineRule="auto"/>
              <w:rPr>
                <w:rFonts w:cs="Arial"/>
              </w:rPr>
            </w:pPr>
            <w:r w:rsidRPr="00E94E2A">
              <w:rPr>
                <w:rFonts w:cs="Arial"/>
              </w:rPr>
              <w:t>(d)</w:t>
            </w:r>
          </w:p>
        </w:tc>
        <w:tc>
          <w:tcPr>
            <w:tcW w:w="0" w:type="auto"/>
            <w:hideMark/>
          </w:tcPr>
          <w:p w:rsidR="0065702E" w:rsidRPr="00E94E2A" w:rsidRDefault="0065702E" w:rsidP="00F179D4">
            <w:pPr>
              <w:spacing w:before="100" w:beforeAutospacing="1" w:after="100" w:afterAutospacing="1" w:line="240" w:lineRule="auto"/>
              <w:rPr>
                <w:rFonts w:cs="Arial"/>
              </w:rPr>
            </w:pPr>
            <w:r w:rsidRPr="00E94E2A">
              <w:rPr>
                <w:rFonts w:cs="Arial"/>
              </w:rPr>
              <w:t xml:space="preserve"> individual regional investment aid to a beneficiary that has closed down the same or a similar activity in the European Economic Area in the two years preceding its application for regional investment aid or which, at the time of the aid application, has concrete plans to close down such an activity within a period of up to two years after the initial investment for which aid is requested is completed in the area concerned;</w:t>
            </w:r>
          </w:p>
        </w:tc>
      </w:tr>
    </w:tbl>
    <w:p w:rsidR="0065702E" w:rsidRPr="00E94E2A" w:rsidRDefault="0065702E" w:rsidP="0065702E">
      <w:pPr>
        <w:spacing w:after="0" w:line="240" w:lineRule="auto"/>
        <w:rPr>
          <w:rFonts w:cs="Arial"/>
        </w:rPr>
      </w:pPr>
    </w:p>
    <w:tbl>
      <w:tblPr>
        <w:tblW w:w="5000" w:type="pct"/>
        <w:tblCellSpacing w:w="0" w:type="dxa"/>
        <w:tblCellMar>
          <w:left w:w="0" w:type="dxa"/>
          <w:right w:w="0" w:type="dxa"/>
        </w:tblCellMar>
        <w:tblLook w:val="04A0" w:firstRow="1" w:lastRow="0" w:firstColumn="1" w:lastColumn="0" w:noHBand="0" w:noVBand="1"/>
      </w:tblPr>
      <w:tblGrid>
        <w:gridCol w:w="269"/>
        <w:gridCol w:w="8802"/>
      </w:tblGrid>
      <w:tr w:rsidR="0065702E" w:rsidRPr="00E94E2A" w:rsidTr="00F179D4">
        <w:trPr>
          <w:tblCellSpacing w:w="0" w:type="dxa"/>
        </w:trPr>
        <w:tc>
          <w:tcPr>
            <w:tcW w:w="148" w:type="pct"/>
            <w:hideMark/>
          </w:tcPr>
          <w:p w:rsidR="0065702E" w:rsidRPr="00E94E2A" w:rsidRDefault="0065702E" w:rsidP="00F179D4">
            <w:pPr>
              <w:spacing w:before="100" w:beforeAutospacing="1" w:after="100" w:afterAutospacing="1" w:line="240" w:lineRule="auto"/>
              <w:rPr>
                <w:rFonts w:cs="Arial"/>
              </w:rPr>
            </w:pPr>
            <w:r w:rsidRPr="00E94E2A">
              <w:rPr>
                <w:rFonts w:cs="Arial"/>
              </w:rPr>
              <w:t>(e)</w:t>
            </w:r>
          </w:p>
        </w:tc>
        <w:tc>
          <w:tcPr>
            <w:tcW w:w="4852" w:type="pct"/>
            <w:hideMark/>
          </w:tcPr>
          <w:p w:rsidR="0065702E" w:rsidRPr="00E94E2A" w:rsidRDefault="0065702E" w:rsidP="00F179D4">
            <w:pPr>
              <w:spacing w:before="100" w:beforeAutospacing="1" w:after="100" w:afterAutospacing="1" w:line="240" w:lineRule="auto"/>
              <w:rPr>
                <w:rFonts w:cs="Arial"/>
              </w:rPr>
            </w:pPr>
            <w:r w:rsidRPr="00E94E2A">
              <w:rPr>
                <w:rFonts w:cs="Arial"/>
              </w:rPr>
              <w:t xml:space="preserve"> regional operating aid granted to undertakings whose principal activities fall under Section K ‘Financial and insurance activities’ of the NACE Rev. 2 or to undertakings that perform intra-group activities whose principal activities fall under classes 70.10 ‘Activities of head offices’ or 70.22 ‘Business and other management consultancy activities’ of NACE Rev. 2.</w:t>
            </w:r>
          </w:p>
        </w:tc>
      </w:tr>
    </w:tbl>
    <w:p w:rsidR="0065702E" w:rsidRPr="00E94E2A" w:rsidRDefault="0065702E" w:rsidP="0065702E">
      <w:pPr>
        <w:pStyle w:val="Heading4"/>
        <w:keepNext/>
        <w:keepLines/>
        <w:numPr>
          <w:ilvl w:val="0"/>
          <w:numId w:val="18"/>
        </w:numPr>
        <w:spacing w:before="200" w:after="0" w:line="276" w:lineRule="auto"/>
        <w:rPr>
          <w:rFonts w:cs="Arial"/>
        </w:rPr>
      </w:pPr>
      <w:r w:rsidRPr="00E94E2A">
        <w:rPr>
          <w:rFonts w:cs="Arial"/>
        </w:rPr>
        <w:t>Investment aid to SMEs (Article 17)</w:t>
      </w:r>
    </w:p>
    <w:p w:rsidR="0065702E" w:rsidRPr="00E94E2A" w:rsidRDefault="0065702E" w:rsidP="0065702E">
      <w:pPr>
        <w:spacing w:before="120" w:after="120"/>
        <w:rPr>
          <w:rFonts w:cs="Arial"/>
        </w:rPr>
      </w:pPr>
      <w:r w:rsidRPr="00E94E2A">
        <w:rPr>
          <w:rFonts w:cs="Arial"/>
        </w:rPr>
        <w:t xml:space="preserve">To facilitate the development of the economic activities of SMEs, the Regulation therefore exempts certain categories of aid when they are granted in favour of SMEs. </w:t>
      </w:r>
    </w:p>
    <w:p w:rsidR="0065702E" w:rsidRPr="00E94E2A" w:rsidRDefault="0065702E" w:rsidP="0065702E">
      <w:pPr>
        <w:spacing w:before="120" w:after="120"/>
        <w:rPr>
          <w:rFonts w:cs="Arial"/>
          <w:i/>
          <w:u w:val="single"/>
        </w:rPr>
      </w:pPr>
      <w:r w:rsidRPr="00E94E2A">
        <w:rPr>
          <w:rFonts w:cs="Arial"/>
          <w:i/>
          <w:u w:val="single"/>
        </w:rPr>
        <w:t>The eligible costs shall be either or both of the following:</w:t>
      </w:r>
    </w:p>
    <w:p w:rsidR="0065702E" w:rsidRPr="00E94E2A" w:rsidRDefault="0065702E" w:rsidP="0065702E">
      <w:pPr>
        <w:spacing w:before="120" w:after="120"/>
        <w:rPr>
          <w:rFonts w:cs="Arial"/>
        </w:rPr>
      </w:pPr>
      <w:r w:rsidRPr="00E94E2A">
        <w:rPr>
          <w:rFonts w:cs="Arial"/>
        </w:rPr>
        <w:t xml:space="preserve">(a) </w:t>
      </w:r>
      <w:proofErr w:type="gramStart"/>
      <w:r w:rsidRPr="00E94E2A">
        <w:rPr>
          <w:rFonts w:cs="Arial"/>
        </w:rPr>
        <w:t>the</w:t>
      </w:r>
      <w:proofErr w:type="gramEnd"/>
      <w:r w:rsidRPr="00E94E2A">
        <w:rPr>
          <w:rFonts w:cs="Arial"/>
        </w:rPr>
        <w:t xml:space="preserve"> costs of investment in tangible and intangible assets;</w:t>
      </w:r>
    </w:p>
    <w:p w:rsidR="0065702E" w:rsidRPr="00E94E2A" w:rsidRDefault="0065702E" w:rsidP="0065702E">
      <w:pPr>
        <w:spacing w:before="120" w:after="120"/>
        <w:rPr>
          <w:rFonts w:cs="Arial"/>
        </w:rPr>
      </w:pPr>
      <w:r w:rsidRPr="00E94E2A">
        <w:rPr>
          <w:rFonts w:cs="Arial"/>
        </w:rPr>
        <w:t xml:space="preserve">(b) </w:t>
      </w:r>
      <w:proofErr w:type="gramStart"/>
      <w:r w:rsidRPr="00E94E2A">
        <w:rPr>
          <w:rFonts w:cs="Arial"/>
        </w:rPr>
        <w:t>the</w:t>
      </w:r>
      <w:proofErr w:type="gramEnd"/>
      <w:r w:rsidRPr="00E94E2A">
        <w:rPr>
          <w:rFonts w:cs="Arial"/>
        </w:rPr>
        <w:t xml:space="preserve"> estimated wage costs of employment directly created by the investment project, calculated over a period of two years.</w:t>
      </w:r>
    </w:p>
    <w:p w:rsidR="0065702E" w:rsidRPr="00E94E2A" w:rsidRDefault="0065702E" w:rsidP="0065702E">
      <w:pPr>
        <w:spacing w:before="120" w:after="120"/>
        <w:rPr>
          <w:rFonts w:cs="Arial"/>
          <w:i/>
          <w:u w:val="single"/>
        </w:rPr>
      </w:pPr>
      <w:r w:rsidRPr="00E94E2A">
        <w:rPr>
          <w:rFonts w:cs="Arial"/>
          <w:i/>
          <w:u w:val="single"/>
        </w:rPr>
        <w:t>The aid intensity shall not exceed:</w:t>
      </w:r>
    </w:p>
    <w:p w:rsidR="0065702E" w:rsidRPr="00E94E2A" w:rsidRDefault="0065702E" w:rsidP="0065702E">
      <w:pPr>
        <w:spacing w:before="120" w:after="120"/>
        <w:rPr>
          <w:rFonts w:cs="Arial"/>
        </w:rPr>
      </w:pPr>
      <w:r w:rsidRPr="00E94E2A">
        <w:rPr>
          <w:rFonts w:cs="Arial"/>
        </w:rPr>
        <w:t>(a) 20% of the eligible costs in the case of small enterprises;</w:t>
      </w:r>
    </w:p>
    <w:p w:rsidR="0065702E" w:rsidRPr="00E94E2A" w:rsidRDefault="0065702E" w:rsidP="0065702E">
      <w:pPr>
        <w:spacing w:before="120" w:after="120"/>
        <w:rPr>
          <w:rFonts w:cs="Arial"/>
        </w:rPr>
      </w:pPr>
      <w:r w:rsidRPr="00E94E2A">
        <w:rPr>
          <w:rFonts w:cs="Arial"/>
        </w:rPr>
        <w:t>(b) 10% of the eligible costs in the case of medium-sized enterprises.</w:t>
      </w:r>
    </w:p>
    <w:p w:rsidR="0065702E" w:rsidRPr="00E94E2A" w:rsidRDefault="0065702E" w:rsidP="0065702E">
      <w:pPr>
        <w:pStyle w:val="Heading4"/>
        <w:keepNext/>
        <w:keepLines/>
        <w:numPr>
          <w:ilvl w:val="0"/>
          <w:numId w:val="18"/>
        </w:numPr>
        <w:spacing w:before="200" w:after="0" w:line="276" w:lineRule="auto"/>
        <w:rPr>
          <w:rFonts w:cs="Arial"/>
        </w:rPr>
      </w:pPr>
      <w:r w:rsidRPr="00E94E2A">
        <w:rPr>
          <w:rFonts w:cs="Arial"/>
        </w:rPr>
        <w:t>Aid for cooperation costs incurred by SMEs participating in European Territorial Cooperation projects (Article 20)</w:t>
      </w:r>
    </w:p>
    <w:p w:rsidR="0065702E" w:rsidRPr="00E94E2A" w:rsidRDefault="0065702E" w:rsidP="0065702E">
      <w:pPr>
        <w:spacing w:before="120" w:after="120"/>
        <w:rPr>
          <w:rFonts w:cs="Arial"/>
          <w:i/>
          <w:u w:val="single"/>
        </w:rPr>
      </w:pPr>
      <w:r w:rsidRPr="00E94E2A">
        <w:rPr>
          <w:rFonts w:cs="Arial"/>
          <w:i/>
          <w:u w:val="single"/>
        </w:rPr>
        <w:t>The eligible costs shall be the following:</w:t>
      </w:r>
    </w:p>
    <w:p w:rsidR="0065702E" w:rsidRPr="00E94E2A" w:rsidRDefault="0065702E" w:rsidP="0065702E">
      <w:pPr>
        <w:spacing w:before="120" w:after="120"/>
        <w:rPr>
          <w:rFonts w:cs="Arial"/>
        </w:rPr>
      </w:pPr>
      <w:r w:rsidRPr="00E94E2A">
        <w:rPr>
          <w:rFonts w:cs="Arial"/>
        </w:rPr>
        <w:t xml:space="preserve">(a) </w:t>
      </w:r>
      <w:proofErr w:type="gramStart"/>
      <w:r w:rsidRPr="00E94E2A">
        <w:rPr>
          <w:rFonts w:cs="Arial"/>
        </w:rPr>
        <w:t>costs</w:t>
      </w:r>
      <w:proofErr w:type="gramEnd"/>
      <w:r w:rsidRPr="00E94E2A">
        <w:rPr>
          <w:rFonts w:cs="Arial"/>
        </w:rPr>
        <w:t xml:space="preserve"> for organisational cooperation including the cost of staff and offices to the extent that it is linked to the cooperation project;</w:t>
      </w:r>
    </w:p>
    <w:p w:rsidR="0065702E" w:rsidRPr="00E94E2A" w:rsidRDefault="0065702E" w:rsidP="0065702E">
      <w:pPr>
        <w:spacing w:before="120" w:after="120"/>
        <w:rPr>
          <w:rFonts w:cs="Arial"/>
        </w:rPr>
      </w:pPr>
      <w:r w:rsidRPr="00E94E2A">
        <w:rPr>
          <w:rFonts w:cs="Arial"/>
        </w:rPr>
        <w:t xml:space="preserve">(b) </w:t>
      </w:r>
      <w:proofErr w:type="gramStart"/>
      <w:r w:rsidRPr="00E94E2A">
        <w:rPr>
          <w:rFonts w:cs="Arial"/>
        </w:rPr>
        <w:t>costs</w:t>
      </w:r>
      <w:proofErr w:type="gramEnd"/>
      <w:r w:rsidRPr="00E94E2A">
        <w:rPr>
          <w:rFonts w:cs="Arial"/>
        </w:rPr>
        <w:t xml:space="preserve"> of advisory and support services linked to cooperation and delivered by external consultants and service providers;</w:t>
      </w:r>
    </w:p>
    <w:p w:rsidR="0065702E" w:rsidRPr="00E94E2A" w:rsidRDefault="0065702E" w:rsidP="0065702E">
      <w:pPr>
        <w:spacing w:before="120" w:after="120"/>
        <w:rPr>
          <w:rFonts w:cs="Arial"/>
        </w:rPr>
      </w:pPr>
      <w:r w:rsidRPr="00E94E2A">
        <w:rPr>
          <w:rFonts w:cs="Arial"/>
        </w:rPr>
        <w:t xml:space="preserve">(c) </w:t>
      </w:r>
      <w:proofErr w:type="gramStart"/>
      <w:r w:rsidRPr="00E94E2A">
        <w:rPr>
          <w:rFonts w:cs="Arial"/>
        </w:rPr>
        <w:t>travel</w:t>
      </w:r>
      <w:proofErr w:type="gramEnd"/>
      <w:r w:rsidRPr="00E94E2A">
        <w:rPr>
          <w:rFonts w:cs="Arial"/>
        </w:rPr>
        <w:t xml:space="preserve"> expenses, costs of equipment and investment expenditure directly related to the project and depreciation of tools and equipment used directly for the project.</w:t>
      </w:r>
    </w:p>
    <w:p w:rsidR="0065702E" w:rsidRPr="00E94E2A" w:rsidRDefault="0065702E" w:rsidP="0065702E">
      <w:pPr>
        <w:spacing w:before="120" w:after="120"/>
        <w:rPr>
          <w:rFonts w:cs="Arial"/>
        </w:rPr>
      </w:pPr>
      <w:r w:rsidRPr="00E94E2A">
        <w:rPr>
          <w:rFonts w:cs="Arial"/>
        </w:rPr>
        <w:t>The aid intensity shall not exceed 50% of the eligible costs.</w:t>
      </w:r>
    </w:p>
    <w:p w:rsidR="0065702E" w:rsidRPr="00E94E2A" w:rsidRDefault="0065702E" w:rsidP="0065702E">
      <w:pPr>
        <w:pStyle w:val="Heading4"/>
        <w:keepNext/>
        <w:keepLines/>
        <w:numPr>
          <w:ilvl w:val="0"/>
          <w:numId w:val="18"/>
        </w:numPr>
        <w:spacing w:before="200" w:after="0" w:line="360" w:lineRule="auto"/>
        <w:rPr>
          <w:rFonts w:cs="Arial"/>
        </w:rPr>
      </w:pPr>
      <w:r w:rsidRPr="00E94E2A">
        <w:rPr>
          <w:rFonts w:cs="Arial"/>
        </w:rPr>
        <w:t>Training Aid (Article 31)</w:t>
      </w:r>
    </w:p>
    <w:p w:rsidR="0065702E" w:rsidRPr="00E94E2A" w:rsidRDefault="0065702E" w:rsidP="0065702E">
      <w:pPr>
        <w:rPr>
          <w:rFonts w:cs="Arial"/>
        </w:rPr>
      </w:pPr>
      <w:r w:rsidRPr="00E94E2A">
        <w:rPr>
          <w:rFonts w:cs="Arial"/>
        </w:rPr>
        <w:t>The promotion of training constitutes a central objective of the economic and social policies of the Union and its Member States. Training usually generates benefits for society, increasing the pool of skilled workers and improving the competitiveness of industry. Aid to promote training is therefore exempted from the notification requirement under certain conditions.</w:t>
      </w:r>
    </w:p>
    <w:p w:rsidR="0065702E" w:rsidRPr="00E94E2A" w:rsidRDefault="0065702E" w:rsidP="0065702E">
      <w:pPr>
        <w:spacing w:before="120" w:after="120"/>
        <w:rPr>
          <w:rFonts w:cs="Arial"/>
          <w:i/>
          <w:u w:val="single"/>
        </w:rPr>
      </w:pPr>
      <w:r w:rsidRPr="00E94E2A">
        <w:rPr>
          <w:rFonts w:cs="Arial"/>
          <w:i/>
          <w:u w:val="single"/>
        </w:rPr>
        <w:t>The eligible costs shall be the following:</w:t>
      </w:r>
    </w:p>
    <w:p w:rsidR="0065702E" w:rsidRPr="00E94E2A" w:rsidRDefault="0065702E" w:rsidP="0065702E">
      <w:pPr>
        <w:spacing w:before="120" w:after="120"/>
        <w:rPr>
          <w:rFonts w:cs="Arial"/>
        </w:rPr>
      </w:pPr>
      <w:r w:rsidRPr="00E94E2A">
        <w:rPr>
          <w:rFonts w:cs="Arial"/>
        </w:rPr>
        <w:t xml:space="preserve">(a) </w:t>
      </w:r>
      <w:proofErr w:type="gramStart"/>
      <w:r w:rsidRPr="00E94E2A">
        <w:rPr>
          <w:rFonts w:cs="Arial"/>
        </w:rPr>
        <w:t>trainers</w:t>
      </w:r>
      <w:proofErr w:type="gramEnd"/>
      <w:r w:rsidRPr="00E94E2A">
        <w:rPr>
          <w:rFonts w:cs="Arial"/>
        </w:rPr>
        <w:t>’ personnel costs, for the hours during which the trainers participate in the training;</w:t>
      </w:r>
    </w:p>
    <w:p w:rsidR="0065702E" w:rsidRPr="00E94E2A" w:rsidRDefault="0065702E" w:rsidP="0065702E">
      <w:pPr>
        <w:spacing w:before="120" w:after="120"/>
        <w:rPr>
          <w:rFonts w:cs="Arial"/>
        </w:rPr>
      </w:pPr>
      <w:r w:rsidRPr="00E94E2A">
        <w:rPr>
          <w:rFonts w:cs="Arial"/>
        </w:rPr>
        <w:t>(b) trainers’ and trainees’ operating costs directly relating to the training project such as travel expenses, materials and supplies directly related to the project, depreciation of tools and equipment, to the extent that they are used exclusively for the training project. Accommodation costs are excluded except for the minimum necessary accommodation costs for trainees' who are workers with disabilities;</w:t>
      </w:r>
    </w:p>
    <w:p w:rsidR="0065702E" w:rsidRPr="00E94E2A" w:rsidRDefault="0065702E" w:rsidP="0065702E">
      <w:pPr>
        <w:spacing w:before="120" w:after="120"/>
        <w:rPr>
          <w:rFonts w:cs="Arial"/>
        </w:rPr>
      </w:pPr>
      <w:r w:rsidRPr="00E94E2A">
        <w:rPr>
          <w:rFonts w:cs="Arial"/>
        </w:rPr>
        <w:t xml:space="preserve">(c) </w:t>
      </w:r>
      <w:proofErr w:type="gramStart"/>
      <w:r w:rsidRPr="00E94E2A">
        <w:rPr>
          <w:rFonts w:cs="Arial"/>
        </w:rPr>
        <w:t>costs</w:t>
      </w:r>
      <w:proofErr w:type="gramEnd"/>
      <w:r w:rsidRPr="00E94E2A">
        <w:rPr>
          <w:rFonts w:cs="Arial"/>
        </w:rPr>
        <w:t xml:space="preserve"> of advisory services linked to the training project;</w:t>
      </w:r>
    </w:p>
    <w:p w:rsidR="0065702E" w:rsidRPr="00E94E2A" w:rsidRDefault="0065702E" w:rsidP="0065702E">
      <w:pPr>
        <w:spacing w:before="120" w:after="120"/>
        <w:rPr>
          <w:rFonts w:cs="Arial"/>
        </w:rPr>
      </w:pPr>
      <w:r w:rsidRPr="00E94E2A">
        <w:rPr>
          <w:rFonts w:cs="Arial"/>
        </w:rPr>
        <w:t xml:space="preserve">(d) </w:t>
      </w:r>
      <w:proofErr w:type="gramStart"/>
      <w:r w:rsidRPr="00E94E2A">
        <w:rPr>
          <w:rFonts w:cs="Arial"/>
        </w:rPr>
        <w:t>trainees</w:t>
      </w:r>
      <w:proofErr w:type="gramEnd"/>
      <w:r w:rsidRPr="00E94E2A">
        <w:rPr>
          <w:rFonts w:cs="Arial"/>
        </w:rPr>
        <w:t>' personnel costs and general indirect costs (administrative costs, rent, overheads) for the hours during which the trainees participate in the training.</w:t>
      </w:r>
    </w:p>
    <w:p w:rsidR="0065702E" w:rsidRPr="00E94E2A" w:rsidRDefault="0065702E" w:rsidP="0065702E">
      <w:pPr>
        <w:spacing w:before="120" w:after="120"/>
        <w:rPr>
          <w:rFonts w:cs="Arial"/>
          <w:i/>
          <w:u w:val="single"/>
        </w:rPr>
      </w:pPr>
      <w:r w:rsidRPr="00E94E2A">
        <w:rPr>
          <w:rFonts w:cs="Arial"/>
          <w:i/>
          <w:u w:val="single"/>
        </w:rPr>
        <w:t>The aid intensity shall not exceed:</w:t>
      </w:r>
    </w:p>
    <w:p w:rsidR="0065702E" w:rsidRPr="00E94E2A" w:rsidRDefault="0065702E" w:rsidP="0065702E">
      <w:pPr>
        <w:spacing w:before="120" w:after="120"/>
        <w:rPr>
          <w:rFonts w:cs="Arial"/>
        </w:rPr>
      </w:pPr>
      <w:r w:rsidRPr="00E94E2A">
        <w:rPr>
          <w:rFonts w:cs="Arial"/>
        </w:rPr>
        <w:t>50% of the eligible costs, it may be increased, up to a maximum aid intensity of 70% of the eligible costs, as follows:</w:t>
      </w:r>
    </w:p>
    <w:p w:rsidR="0065702E" w:rsidRPr="00E94E2A" w:rsidRDefault="0065702E" w:rsidP="0065702E">
      <w:pPr>
        <w:spacing w:before="120" w:after="120"/>
        <w:rPr>
          <w:rFonts w:cs="Arial"/>
        </w:rPr>
      </w:pPr>
      <w:r w:rsidRPr="00E94E2A">
        <w:rPr>
          <w:rFonts w:cs="Arial"/>
        </w:rPr>
        <w:t xml:space="preserve">(a) </w:t>
      </w:r>
      <w:proofErr w:type="gramStart"/>
      <w:r w:rsidRPr="00E94E2A">
        <w:rPr>
          <w:rFonts w:cs="Arial"/>
        </w:rPr>
        <w:t>by</w:t>
      </w:r>
      <w:proofErr w:type="gramEnd"/>
      <w:r w:rsidRPr="00E94E2A">
        <w:rPr>
          <w:rFonts w:cs="Arial"/>
        </w:rPr>
        <w:t xml:space="preserve"> 10% if the training is given to workers with disabilities or disadvantaged workers;</w:t>
      </w:r>
    </w:p>
    <w:p w:rsidR="0065702E" w:rsidRPr="00E94E2A" w:rsidRDefault="0065702E" w:rsidP="0065702E">
      <w:pPr>
        <w:spacing w:before="120" w:after="120"/>
        <w:rPr>
          <w:rFonts w:cs="Arial"/>
        </w:rPr>
      </w:pPr>
      <w:r w:rsidRPr="00E94E2A">
        <w:rPr>
          <w:rFonts w:cs="Arial"/>
        </w:rPr>
        <w:t xml:space="preserve">(b) </w:t>
      </w:r>
      <w:proofErr w:type="gramStart"/>
      <w:r w:rsidRPr="00E94E2A">
        <w:rPr>
          <w:rFonts w:cs="Arial"/>
        </w:rPr>
        <w:t>by</w:t>
      </w:r>
      <w:proofErr w:type="gramEnd"/>
      <w:r w:rsidRPr="00E94E2A">
        <w:rPr>
          <w:rFonts w:cs="Arial"/>
        </w:rPr>
        <w:t xml:space="preserve"> 10% if the aid is granted to medium-sized enterprises and by 20% if the aid is granted to small enterprises;</w:t>
      </w:r>
    </w:p>
    <w:p w:rsidR="0065702E" w:rsidRPr="00E94E2A" w:rsidRDefault="0065702E" w:rsidP="0065702E">
      <w:pPr>
        <w:pStyle w:val="Heading4"/>
        <w:keepNext/>
        <w:keepLines/>
        <w:numPr>
          <w:ilvl w:val="0"/>
          <w:numId w:val="18"/>
        </w:numPr>
        <w:spacing w:before="200" w:after="0" w:line="360" w:lineRule="auto"/>
        <w:rPr>
          <w:rFonts w:cs="Arial"/>
        </w:rPr>
      </w:pPr>
      <w:r w:rsidRPr="00E94E2A">
        <w:rPr>
          <w:rFonts w:cs="Arial"/>
        </w:rPr>
        <w:t>Aid for culture and heritage conservation (Article 53)</w:t>
      </w:r>
    </w:p>
    <w:p w:rsidR="0065702E" w:rsidRPr="00E94E2A" w:rsidRDefault="0065702E" w:rsidP="0065702E">
      <w:pPr>
        <w:spacing w:before="120" w:after="120"/>
        <w:rPr>
          <w:rFonts w:cs="Arial"/>
          <w:i/>
          <w:u w:val="single"/>
        </w:rPr>
      </w:pPr>
      <w:r w:rsidRPr="00E94E2A">
        <w:rPr>
          <w:rFonts w:cs="Arial"/>
          <w:i/>
          <w:u w:val="single"/>
        </w:rPr>
        <w:t>The aid shall be granted for the following cultural purposes and activities:</w:t>
      </w:r>
    </w:p>
    <w:p w:rsidR="0065702E" w:rsidRPr="00E94E2A" w:rsidRDefault="0065702E" w:rsidP="0065702E">
      <w:pPr>
        <w:spacing w:before="120" w:after="120"/>
        <w:rPr>
          <w:rFonts w:cs="Arial"/>
        </w:rPr>
      </w:pPr>
      <w:r w:rsidRPr="00E94E2A">
        <w:rPr>
          <w:rFonts w:cs="Arial"/>
        </w:rPr>
        <w:t>(a) museums, archives, libraries, artistic and cultural centres or spaces, theatres, opera houses, concert halls, other live performance organisations, film heritage institutions and other similar artistic and cultural infrastructures, organisations and institutions;</w:t>
      </w:r>
    </w:p>
    <w:p w:rsidR="0065702E" w:rsidRPr="00E94E2A" w:rsidRDefault="0065702E" w:rsidP="0065702E">
      <w:pPr>
        <w:spacing w:before="120" w:after="120"/>
        <w:rPr>
          <w:rFonts w:cs="Arial"/>
        </w:rPr>
      </w:pPr>
      <w:r w:rsidRPr="00E94E2A">
        <w:rPr>
          <w:rFonts w:cs="Arial"/>
        </w:rPr>
        <w:t xml:space="preserve">(b) </w:t>
      </w:r>
      <w:proofErr w:type="gramStart"/>
      <w:r w:rsidRPr="00E94E2A">
        <w:rPr>
          <w:rFonts w:cs="Arial"/>
        </w:rPr>
        <w:t>tangible</w:t>
      </w:r>
      <w:proofErr w:type="gramEnd"/>
      <w:r w:rsidRPr="00E94E2A">
        <w:rPr>
          <w:rFonts w:cs="Arial"/>
        </w:rPr>
        <w:t xml:space="preserve"> heritage including all forms of movable or immovable cultural heritage and archaeological sites, monuments, historical sites and buildings; natural heritage linked to cultural heritage or if formally recognized as cultural or natural heritage by the competent public authorities of a Member State;</w:t>
      </w:r>
    </w:p>
    <w:p w:rsidR="0065702E" w:rsidRPr="00E94E2A" w:rsidRDefault="0065702E" w:rsidP="0065702E">
      <w:pPr>
        <w:spacing w:before="120" w:after="120"/>
        <w:rPr>
          <w:rFonts w:cs="Arial"/>
        </w:rPr>
      </w:pPr>
      <w:r w:rsidRPr="00E94E2A">
        <w:rPr>
          <w:rFonts w:cs="Arial"/>
        </w:rPr>
        <w:t xml:space="preserve">(c) </w:t>
      </w:r>
      <w:proofErr w:type="gramStart"/>
      <w:r w:rsidRPr="00E94E2A">
        <w:rPr>
          <w:rFonts w:cs="Arial"/>
        </w:rPr>
        <w:t>intangible</w:t>
      </w:r>
      <w:proofErr w:type="gramEnd"/>
      <w:r w:rsidRPr="00E94E2A">
        <w:rPr>
          <w:rFonts w:cs="Arial"/>
        </w:rPr>
        <w:t xml:space="preserve"> heritage in any form, including folklorist customs and crafts;</w:t>
      </w:r>
    </w:p>
    <w:p w:rsidR="0065702E" w:rsidRPr="00E94E2A" w:rsidRDefault="0065702E" w:rsidP="0065702E">
      <w:pPr>
        <w:spacing w:before="120" w:after="120"/>
        <w:rPr>
          <w:rFonts w:cs="Arial"/>
        </w:rPr>
      </w:pPr>
      <w:r w:rsidRPr="00E94E2A">
        <w:rPr>
          <w:rFonts w:cs="Arial"/>
        </w:rPr>
        <w:t xml:space="preserve">(d) </w:t>
      </w:r>
      <w:proofErr w:type="gramStart"/>
      <w:r w:rsidRPr="00E94E2A">
        <w:rPr>
          <w:rFonts w:cs="Arial"/>
        </w:rPr>
        <w:t>art</w:t>
      </w:r>
      <w:proofErr w:type="gramEnd"/>
      <w:r w:rsidRPr="00E94E2A">
        <w:rPr>
          <w:rFonts w:cs="Arial"/>
        </w:rPr>
        <w:t xml:space="preserve"> or cultural events and performances, festivals, exhibitions and other similar cultural activities;</w:t>
      </w:r>
    </w:p>
    <w:p w:rsidR="0065702E" w:rsidRPr="00E94E2A" w:rsidRDefault="0065702E" w:rsidP="0065702E">
      <w:pPr>
        <w:spacing w:before="120" w:after="120"/>
        <w:rPr>
          <w:rFonts w:cs="Arial"/>
        </w:rPr>
      </w:pPr>
      <w:r w:rsidRPr="00E94E2A">
        <w:rPr>
          <w:rFonts w:cs="Arial"/>
        </w:rPr>
        <w:t xml:space="preserve">(e) </w:t>
      </w:r>
      <w:proofErr w:type="gramStart"/>
      <w:r w:rsidRPr="00E94E2A">
        <w:rPr>
          <w:rFonts w:cs="Arial"/>
        </w:rPr>
        <w:t>cultural</w:t>
      </w:r>
      <w:proofErr w:type="gramEnd"/>
      <w:r w:rsidRPr="00E94E2A">
        <w:rPr>
          <w:rFonts w:cs="Arial"/>
        </w:rPr>
        <w:t xml:space="preserve"> and artistic education activities as well as promotion of the understanding of the importance of protection and promotion of the diversity of cultural expressions through educational and greater public awareness programs, including with the use of new technologies;</w:t>
      </w:r>
    </w:p>
    <w:p w:rsidR="0065702E" w:rsidRPr="00E94E2A" w:rsidRDefault="0065702E" w:rsidP="0065702E">
      <w:pPr>
        <w:spacing w:before="120" w:after="120"/>
        <w:rPr>
          <w:rFonts w:cs="Arial"/>
          <w:i/>
          <w:u w:val="single"/>
        </w:rPr>
      </w:pPr>
      <w:r w:rsidRPr="00E94E2A">
        <w:rPr>
          <w:rFonts w:cs="Arial"/>
          <w:i/>
          <w:u w:val="single"/>
        </w:rPr>
        <w:t>The aid may take the form of:</w:t>
      </w:r>
    </w:p>
    <w:p w:rsidR="0065702E" w:rsidRPr="00E94E2A" w:rsidRDefault="0065702E" w:rsidP="0065702E">
      <w:pPr>
        <w:spacing w:before="120" w:after="120"/>
        <w:rPr>
          <w:rFonts w:cs="Arial"/>
        </w:rPr>
      </w:pPr>
      <w:r w:rsidRPr="00E94E2A">
        <w:rPr>
          <w:rFonts w:cs="Arial"/>
        </w:rPr>
        <w:t xml:space="preserve">(a) </w:t>
      </w:r>
      <w:proofErr w:type="gramStart"/>
      <w:r w:rsidRPr="00E94E2A">
        <w:rPr>
          <w:rFonts w:cs="Arial"/>
        </w:rPr>
        <w:t>investment</w:t>
      </w:r>
      <w:proofErr w:type="gramEnd"/>
      <w:r w:rsidRPr="00E94E2A">
        <w:rPr>
          <w:rFonts w:cs="Arial"/>
        </w:rPr>
        <w:t xml:space="preserve"> aid, including aid for the construction or upgrade of culture infrastructure;</w:t>
      </w:r>
    </w:p>
    <w:p w:rsidR="0065702E" w:rsidRPr="00E94E2A" w:rsidRDefault="0065702E" w:rsidP="0065702E">
      <w:pPr>
        <w:spacing w:before="120" w:after="120"/>
        <w:rPr>
          <w:rFonts w:cs="Arial"/>
        </w:rPr>
      </w:pPr>
      <w:r w:rsidRPr="00E94E2A">
        <w:rPr>
          <w:rFonts w:cs="Arial"/>
        </w:rPr>
        <w:t xml:space="preserve">(b) </w:t>
      </w:r>
      <w:proofErr w:type="gramStart"/>
      <w:r w:rsidRPr="00E94E2A">
        <w:rPr>
          <w:rFonts w:cs="Arial"/>
        </w:rPr>
        <w:t>operating</w:t>
      </w:r>
      <w:proofErr w:type="gramEnd"/>
      <w:r w:rsidRPr="00E94E2A">
        <w:rPr>
          <w:rFonts w:cs="Arial"/>
        </w:rPr>
        <w:t xml:space="preserve"> aid.</w:t>
      </w:r>
    </w:p>
    <w:p w:rsidR="0065702E" w:rsidRPr="00E94E2A" w:rsidRDefault="0065702E" w:rsidP="0065702E">
      <w:pPr>
        <w:spacing w:before="120" w:after="120"/>
        <w:rPr>
          <w:rFonts w:cs="Arial"/>
          <w:i/>
          <w:u w:val="single"/>
        </w:rPr>
      </w:pPr>
      <w:r w:rsidRPr="00E94E2A">
        <w:rPr>
          <w:rFonts w:cs="Arial"/>
          <w:i/>
          <w:u w:val="single"/>
        </w:rPr>
        <w:t>For investment aid, the eligible costs shall be the investment costs in tangible and intangible assets, including:</w:t>
      </w:r>
    </w:p>
    <w:p w:rsidR="0065702E" w:rsidRPr="00E94E2A" w:rsidRDefault="0065702E" w:rsidP="0065702E">
      <w:pPr>
        <w:spacing w:before="120" w:after="120"/>
        <w:rPr>
          <w:rFonts w:cs="Arial"/>
        </w:rPr>
      </w:pPr>
      <w:r w:rsidRPr="00E94E2A">
        <w:rPr>
          <w:rFonts w:cs="Arial"/>
        </w:rPr>
        <w:t xml:space="preserve">(a) </w:t>
      </w:r>
      <w:proofErr w:type="gramStart"/>
      <w:r w:rsidRPr="00E94E2A">
        <w:rPr>
          <w:rFonts w:cs="Arial"/>
        </w:rPr>
        <w:t>costs</w:t>
      </w:r>
      <w:proofErr w:type="gramEnd"/>
      <w:r w:rsidRPr="00E94E2A">
        <w:rPr>
          <w:rFonts w:cs="Arial"/>
        </w:rPr>
        <w:t xml:space="preserve"> for the construction, upgrade, acquisition, conservation or improvement of infrastructure, if at least 80% of either the time or the space capacity per year is used for cultural purposes;</w:t>
      </w:r>
    </w:p>
    <w:p w:rsidR="0065702E" w:rsidRPr="00E94E2A" w:rsidRDefault="0065702E" w:rsidP="0065702E">
      <w:pPr>
        <w:spacing w:before="120" w:after="120"/>
        <w:rPr>
          <w:rFonts w:cs="Arial"/>
        </w:rPr>
      </w:pPr>
      <w:r w:rsidRPr="00E94E2A">
        <w:rPr>
          <w:rFonts w:cs="Arial"/>
        </w:rPr>
        <w:t xml:space="preserve">(b) </w:t>
      </w:r>
      <w:proofErr w:type="gramStart"/>
      <w:r w:rsidRPr="00E94E2A">
        <w:rPr>
          <w:rFonts w:cs="Arial"/>
        </w:rPr>
        <w:t>costs</w:t>
      </w:r>
      <w:proofErr w:type="gramEnd"/>
      <w:r w:rsidRPr="00E94E2A">
        <w:rPr>
          <w:rFonts w:cs="Arial"/>
        </w:rPr>
        <w:t xml:space="preserve"> for the acquisition, including leasing, transfer of possession or physical relocation of cultural heritage;</w:t>
      </w:r>
    </w:p>
    <w:p w:rsidR="0065702E" w:rsidRPr="00E94E2A" w:rsidRDefault="0065702E" w:rsidP="0065702E">
      <w:pPr>
        <w:spacing w:before="120" w:after="120"/>
        <w:rPr>
          <w:rFonts w:cs="Arial"/>
        </w:rPr>
      </w:pPr>
      <w:r w:rsidRPr="00E94E2A">
        <w:rPr>
          <w:rFonts w:cs="Arial"/>
        </w:rPr>
        <w:t>(c) costs for safeguarding, preservation, restoration and rehabilitation of tangible and intangible cultural heritage, including extra costs for storage under appropriate conditions, special tools, materials and costs for documentation, research, digitalisation and publication;</w:t>
      </w:r>
    </w:p>
    <w:p w:rsidR="0065702E" w:rsidRPr="00E94E2A" w:rsidRDefault="0065702E" w:rsidP="0065702E">
      <w:pPr>
        <w:spacing w:before="120" w:after="120"/>
        <w:rPr>
          <w:rFonts w:cs="Arial"/>
        </w:rPr>
      </w:pPr>
      <w:r w:rsidRPr="00E94E2A">
        <w:rPr>
          <w:rFonts w:cs="Arial"/>
        </w:rPr>
        <w:t>(d) costs for improving the accessibility of cultural heritage to the public, including costs for digitisation and other new technologies, costs to improve accessibility for persons with special needs (in particular, ramps and lifts for disabled persons, braille indications and hands-on exhibits in museums) and for promoting cultural diversity with respect to presentations, programmes and visitors;</w:t>
      </w:r>
    </w:p>
    <w:p w:rsidR="0065702E" w:rsidRPr="00E94E2A" w:rsidRDefault="0065702E" w:rsidP="0065702E">
      <w:pPr>
        <w:spacing w:before="120" w:after="120"/>
        <w:rPr>
          <w:rFonts w:cs="Arial"/>
        </w:rPr>
      </w:pPr>
      <w:r w:rsidRPr="00E94E2A">
        <w:rPr>
          <w:rFonts w:cs="Arial"/>
        </w:rPr>
        <w:t>(e) costs for cultural projects and activities, cooperation and exchange programmes and grants including costs for selection procedures, costs for promotion and costs incurred directly as a result of the project;</w:t>
      </w:r>
    </w:p>
    <w:p w:rsidR="0065702E" w:rsidRPr="00E94E2A" w:rsidRDefault="0065702E" w:rsidP="0065702E">
      <w:pPr>
        <w:autoSpaceDE w:val="0"/>
        <w:autoSpaceDN w:val="0"/>
        <w:adjustRightInd w:val="0"/>
        <w:spacing w:after="0" w:line="240" w:lineRule="auto"/>
        <w:rPr>
          <w:rFonts w:cs="Arial"/>
          <w:i/>
          <w:u w:val="single"/>
        </w:rPr>
      </w:pPr>
      <w:r w:rsidRPr="00E94E2A">
        <w:rPr>
          <w:rFonts w:cs="Arial"/>
          <w:i/>
          <w:u w:val="single"/>
        </w:rPr>
        <w:t>For operating aid, the eligible costs shall be the following:</w:t>
      </w:r>
    </w:p>
    <w:p w:rsidR="0065702E" w:rsidRPr="00E94E2A" w:rsidRDefault="0065702E" w:rsidP="0065702E">
      <w:pPr>
        <w:spacing w:before="120" w:after="120"/>
        <w:rPr>
          <w:rFonts w:cs="Arial"/>
        </w:rPr>
      </w:pPr>
      <w:r w:rsidRPr="00E94E2A">
        <w:rPr>
          <w:rFonts w:cs="Arial"/>
        </w:rPr>
        <w:t xml:space="preserve">(a) </w:t>
      </w:r>
      <w:proofErr w:type="gramStart"/>
      <w:r w:rsidRPr="00E94E2A">
        <w:rPr>
          <w:rFonts w:cs="Arial"/>
        </w:rPr>
        <w:t>the</w:t>
      </w:r>
      <w:proofErr w:type="gramEnd"/>
      <w:r w:rsidRPr="00E94E2A">
        <w:rPr>
          <w:rFonts w:cs="Arial"/>
        </w:rPr>
        <w:t xml:space="preserve"> cultural institution's or heritage site's costs linked to continuous or periodic activities including exhibitions, performances and events and similar cultural activities that occur in the ordinary course of business;</w:t>
      </w:r>
    </w:p>
    <w:p w:rsidR="0065702E" w:rsidRPr="00E94E2A" w:rsidRDefault="0065702E" w:rsidP="0065702E">
      <w:pPr>
        <w:spacing w:before="120" w:after="120"/>
        <w:rPr>
          <w:rFonts w:cs="Arial"/>
        </w:rPr>
      </w:pPr>
      <w:r w:rsidRPr="00E94E2A">
        <w:rPr>
          <w:rFonts w:cs="Arial"/>
        </w:rPr>
        <w:t xml:space="preserve">(b) </w:t>
      </w:r>
      <w:proofErr w:type="gramStart"/>
      <w:r w:rsidRPr="00E94E2A">
        <w:rPr>
          <w:rFonts w:cs="Arial"/>
        </w:rPr>
        <w:t>costs</w:t>
      </w:r>
      <w:proofErr w:type="gramEnd"/>
      <w:r w:rsidRPr="00E94E2A">
        <w:rPr>
          <w:rFonts w:cs="Arial"/>
        </w:rPr>
        <w:t xml:space="preserve"> of cultural and artistic education activities as well as promotion of the understanding of the importance of protection and promotion of the diversity of cultural expressions through educational and greater public awareness programs, including with the use of new technologies;</w:t>
      </w:r>
    </w:p>
    <w:p w:rsidR="0065702E" w:rsidRPr="00E94E2A" w:rsidRDefault="0065702E" w:rsidP="0065702E">
      <w:pPr>
        <w:spacing w:before="120" w:after="120"/>
        <w:rPr>
          <w:rFonts w:cs="Arial"/>
        </w:rPr>
      </w:pPr>
      <w:r w:rsidRPr="00E94E2A">
        <w:rPr>
          <w:rFonts w:cs="Arial"/>
        </w:rPr>
        <w:t xml:space="preserve">(c) </w:t>
      </w:r>
      <w:proofErr w:type="gramStart"/>
      <w:r w:rsidRPr="00E94E2A">
        <w:rPr>
          <w:rFonts w:cs="Arial"/>
        </w:rPr>
        <w:t>costs</w:t>
      </w:r>
      <w:proofErr w:type="gramEnd"/>
      <w:r w:rsidRPr="00E94E2A">
        <w:rPr>
          <w:rFonts w:cs="Arial"/>
        </w:rPr>
        <w:t xml:space="preserve"> of the improvement of public access to the cultural institution or heritage sites and activities including costs of digitisation and of use of new technologies as well as costs of improving accessibility for persons with disabilities;</w:t>
      </w:r>
    </w:p>
    <w:p w:rsidR="0065702E" w:rsidRPr="00E94E2A" w:rsidRDefault="0065702E" w:rsidP="0065702E">
      <w:pPr>
        <w:spacing w:before="120" w:after="120"/>
        <w:rPr>
          <w:rFonts w:cs="Arial"/>
        </w:rPr>
      </w:pPr>
      <w:r w:rsidRPr="00E94E2A">
        <w:rPr>
          <w:rFonts w:cs="Arial"/>
        </w:rPr>
        <w:t>(d) operating costs directly relating to the cultural project or activity, such as rent or lease of real estate and cultural venues, travel expenses, materials and supplies directly related to the cultural project or activity, architectural structures for exhibitions and stage sets, loan, lease and depreciation of tools, software and equipment, costs for access rights to copyright works and other related intellectual property rights protected contents, costs for promotion and costs incurred directly as a result of the project or activity; depreciation charges and the costs of financing are only eligible if they have not been covered by investment aid;</w:t>
      </w:r>
    </w:p>
    <w:p w:rsidR="0065702E" w:rsidRPr="00E94E2A" w:rsidRDefault="0065702E" w:rsidP="0065702E">
      <w:pPr>
        <w:spacing w:before="120" w:after="120"/>
        <w:rPr>
          <w:rFonts w:cs="Arial"/>
        </w:rPr>
      </w:pPr>
      <w:r w:rsidRPr="00E94E2A">
        <w:rPr>
          <w:rFonts w:cs="Arial"/>
        </w:rPr>
        <w:t xml:space="preserve">(e) </w:t>
      </w:r>
      <w:proofErr w:type="gramStart"/>
      <w:r w:rsidRPr="00E94E2A">
        <w:rPr>
          <w:rFonts w:cs="Arial"/>
        </w:rPr>
        <w:t>costs</w:t>
      </w:r>
      <w:proofErr w:type="gramEnd"/>
      <w:r w:rsidRPr="00E94E2A">
        <w:rPr>
          <w:rFonts w:cs="Arial"/>
        </w:rPr>
        <w:t xml:space="preserve"> for personnel working for the cultural institution or heritage site or for a project;</w:t>
      </w:r>
    </w:p>
    <w:p w:rsidR="0065702E" w:rsidRPr="00E94E2A" w:rsidRDefault="0065702E" w:rsidP="0065702E">
      <w:pPr>
        <w:spacing w:before="120" w:after="120"/>
        <w:rPr>
          <w:rFonts w:cs="Arial"/>
        </w:rPr>
      </w:pPr>
      <w:r w:rsidRPr="00E94E2A">
        <w:rPr>
          <w:rFonts w:cs="Arial"/>
        </w:rPr>
        <w:t xml:space="preserve">(f) </w:t>
      </w:r>
      <w:proofErr w:type="gramStart"/>
      <w:r w:rsidRPr="00E94E2A">
        <w:rPr>
          <w:rFonts w:cs="Arial"/>
        </w:rPr>
        <w:t>costs</w:t>
      </w:r>
      <w:proofErr w:type="gramEnd"/>
      <w:r w:rsidRPr="00E94E2A">
        <w:rPr>
          <w:rFonts w:cs="Arial"/>
        </w:rPr>
        <w:t xml:space="preserve"> for advisory and support services provided by outside consultants and service providers, incurred directly as a result of the project.</w:t>
      </w:r>
    </w:p>
    <w:p w:rsidR="0065702E" w:rsidRPr="00E94E2A" w:rsidRDefault="0065702E" w:rsidP="0065702E">
      <w:pPr>
        <w:spacing w:before="120" w:after="120"/>
        <w:rPr>
          <w:rFonts w:cs="Arial"/>
          <w:i/>
          <w:u w:val="single"/>
        </w:rPr>
      </w:pPr>
      <w:r w:rsidRPr="00E94E2A">
        <w:rPr>
          <w:rFonts w:cs="Arial"/>
          <w:i/>
          <w:u w:val="single"/>
        </w:rPr>
        <w:t>The aid intensity:</w:t>
      </w:r>
    </w:p>
    <w:p w:rsidR="0065702E" w:rsidRPr="00E94E2A" w:rsidRDefault="0065702E" w:rsidP="0065702E">
      <w:pPr>
        <w:pStyle w:val="ListParagraph"/>
        <w:numPr>
          <w:ilvl w:val="0"/>
          <w:numId w:val="22"/>
        </w:numPr>
        <w:spacing w:before="120" w:after="120" w:line="276" w:lineRule="auto"/>
        <w:rPr>
          <w:rFonts w:cs="Arial"/>
        </w:rPr>
      </w:pPr>
      <w:r w:rsidRPr="00E94E2A">
        <w:rPr>
          <w:rFonts w:cs="Arial"/>
        </w:rPr>
        <w:t>available only for projects not exceeding EUR 1 million</w:t>
      </w:r>
    </w:p>
    <w:p w:rsidR="0065702E" w:rsidRPr="00E94E2A" w:rsidRDefault="0065702E" w:rsidP="0065702E">
      <w:pPr>
        <w:pStyle w:val="ListParagraph"/>
        <w:numPr>
          <w:ilvl w:val="0"/>
          <w:numId w:val="22"/>
        </w:numPr>
        <w:spacing w:before="120" w:after="120" w:line="276" w:lineRule="auto"/>
        <w:rPr>
          <w:rFonts w:cs="Arial"/>
        </w:rPr>
      </w:pPr>
      <w:proofErr w:type="gramStart"/>
      <w:r w:rsidRPr="00E94E2A">
        <w:rPr>
          <w:rFonts w:cs="Arial"/>
        </w:rPr>
        <w:t>the</w:t>
      </w:r>
      <w:proofErr w:type="gramEnd"/>
      <w:r w:rsidRPr="00E94E2A">
        <w:rPr>
          <w:rFonts w:cs="Arial"/>
        </w:rPr>
        <w:t xml:space="preserve"> maximum amount of aid is 80% of eligible costs.</w:t>
      </w:r>
    </w:p>
    <w:p w:rsidR="0065702E" w:rsidRPr="00E94E2A" w:rsidRDefault="0065702E" w:rsidP="006F2FBA">
      <w:pPr>
        <w:pStyle w:val="Heading4"/>
        <w:keepNext/>
        <w:keepLines/>
        <w:numPr>
          <w:ilvl w:val="0"/>
          <w:numId w:val="18"/>
        </w:numPr>
        <w:spacing w:before="200" w:after="0" w:line="360" w:lineRule="auto"/>
        <w:rPr>
          <w:rFonts w:cs="Arial"/>
        </w:rPr>
      </w:pPr>
      <w:r w:rsidRPr="00E94E2A">
        <w:rPr>
          <w:rFonts w:cs="Arial"/>
        </w:rPr>
        <w:t>Investment aid for local infrastructures (Article 56)</w:t>
      </w:r>
    </w:p>
    <w:p w:rsidR="0065702E" w:rsidRPr="00E94E2A" w:rsidRDefault="0065702E" w:rsidP="0065702E">
      <w:pPr>
        <w:rPr>
          <w:rFonts w:cs="Arial"/>
        </w:rPr>
      </w:pPr>
      <w:r w:rsidRPr="00E94E2A">
        <w:rPr>
          <w:rFonts w:cs="Arial"/>
        </w:rPr>
        <w:t>This article allows for the state to invest in infrastructure at a local level which contributes to improving the business and consumer environment and modernising and developing the industrial base.</w:t>
      </w:r>
    </w:p>
    <w:p w:rsidR="0065702E" w:rsidRPr="00E94E2A" w:rsidRDefault="0065702E" w:rsidP="0065702E">
      <w:pPr>
        <w:rPr>
          <w:rFonts w:cs="Arial"/>
        </w:rPr>
      </w:pPr>
      <w:r w:rsidRPr="00E94E2A">
        <w:rPr>
          <w:rFonts w:cs="Arial"/>
        </w:rPr>
        <w:t>The eligible costs shall be the investment costs in tangible and intangible assets.</w:t>
      </w:r>
    </w:p>
    <w:p w:rsidR="0065702E" w:rsidRPr="00E94E2A" w:rsidRDefault="0065702E" w:rsidP="0065702E">
      <w:pPr>
        <w:rPr>
          <w:rFonts w:cs="Arial"/>
        </w:rPr>
      </w:pPr>
      <w:r w:rsidRPr="00E94E2A">
        <w:rPr>
          <w:rFonts w:cs="Arial"/>
        </w:rPr>
        <w:t>The aid amount shall not exceed the difference between the eligible costs and the operating profit of the investment.</w:t>
      </w:r>
    </w:p>
    <w:p w:rsidR="0065702E" w:rsidRPr="00E94E2A" w:rsidRDefault="0065702E" w:rsidP="0065702E">
      <w:pPr>
        <w:rPr>
          <w:rFonts w:cs="Arial"/>
          <w:u w:val="single"/>
        </w:rPr>
      </w:pPr>
      <w:r w:rsidRPr="00E94E2A">
        <w:rPr>
          <w:rFonts w:cs="Arial"/>
          <w:u w:val="single"/>
        </w:rPr>
        <w:t>Airport and port</w:t>
      </w:r>
    </w:p>
    <w:p w:rsidR="006F2FBA" w:rsidRDefault="0065702E" w:rsidP="0065702E">
      <w:pPr>
        <w:rPr>
          <w:rFonts w:cs="Arial"/>
          <w:b/>
        </w:rPr>
        <w:sectPr w:rsidR="006F2FBA" w:rsidSect="00E70293">
          <w:headerReference w:type="default" r:id="rId11"/>
          <w:footerReference w:type="default" r:id="rId12"/>
          <w:footerReference w:type="first" r:id="rId13"/>
          <w:pgSz w:w="11907" w:h="16840" w:code="9"/>
          <w:pgMar w:top="1701" w:right="1418" w:bottom="630" w:left="1418" w:header="709" w:footer="0" w:gutter="0"/>
          <w:cols w:space="708"/>
          <w:docGrid w:linePitch="360"/>
        </w:sectPr>
      </w:pPr>
      <w:r w:rsidRPr="00E94E2A">
        <w:rPr>
          <w:rFonts w:cs="Arial"/>
        </w:rPr>
        <w:t>On 22 July 2013 Regulation (EC) No 994/98 was amended by Council Regulation (EU) No 733/2013 of 22 July 2013 amending Regulation (EC) No 994/98 on the application of Articles 92 and 93 of the Treaty establishing the European Community to certain categories of horizontal State aid</w:t>
      </w:r>
      <w:hyperlink r:id="rId14" w:anchor="ntr4-L_2014187EN.01000101-E0004" w:history="1">
        <w:r w:rsidRPr="00E94E2A">
          <w:rPr>
            <w:rFonts w:cs="Arial"/>
          </w:rPr>
          <w:t> (4)</w:t>
        </w:r>
      </w:hyperlink>
      <w:r w:rsidRPr="00E94E2A">
        <w:rPr>
          <w:rFonts w:cs="Arial"/>
        </w:rPr>
        <w:t xml:space="preserve"> </w:t>
      </w:r>
      <w:r w:rsidRPr="00E94E2A">
        <w:rPr>
          <w:rFonts w:cs="Arial"/>
          <w:b/>
        </w:rPr>
        <w:t>to empower the Commission to extend the block exemption to new categories of aid</w:t>
      </w:r>
      <w:r w:rsidRPr="00E94E2A">
        <w:rPr>
          <w:rFonts w:cs="Arial"/>
        </w:rPr>
        <w:t xml:space="preserve">, in respect of which clear compatibility conditions can be defined. Such new categories of block exempted aid include: aid to make good the damage caused by certain natural disasters, social aid for transport for residents of remote regions, aid for broadband infrastructures, aid for innovation, aid for culture and heritage conservation, aid for sport and multifunctional recreational infrastructures. Provided that sufficient case experience is further developed allowing the design of operational exemption criteria ensuring the ex-ante compatibility of other categories of aid, </w:t>
      </w:r>
      <w:r w:rsidRPr="00E94E2A">
        <w:rPr>
          <w:rFonts w:cs="Arial"/>
          <w:b/>
        </w:rPr>
        <w:t>the Commission intends to review the scope of this Regulation with a view to including certain types of aid in those areas. In particular, the Commission envisages developing criteria for port and airport infrastructure. Please, be noted that if the GBER will be modified, those rules shall apply.</w:t>
      </w:r>
    </w:p>
    <w:p w:rsidR="0065702E" w:rsidRPr="00E94E2A" w:rsidRDefault="006F2FBA" w:rsidP="00497688">
      <w:pPr>
        <w:jc w:val="center"/>
        <w:rPr>
          <w:rFonts w:cs="Arial"/>
          <w:b/>
        </w:rPr>
      </w:pPr>
      <w:r>
        <w:rPr>
          <w:rFonts w:cs="Arial"/>
          <w:b/>
          <w:noProof/>
          <w:lang w:val="en-US" w:eastAsia="en-US"/>
        </w:rPr>
        <w:drawing>
          <wp:inline distT="0" distB="0" distL="0" distR="0" wp14:anchorId="67471C95">
            <wp:extent cx="7869866" cy="5040000"/>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b="11851"/>
                    <a:stretch/>
                  </pic:blipFill>
                  <pic:spPr bwMode="auto">
                    <a:xfrm>
                      <a:off x="0" y="0"/>
                      <a:ext cx="7869866" cy="5040000"/>
                    </a:xfrm>
                    <a:prstGeom prst="rect">
                      <a:avLst/>
                    </a:prstGeom>
                    <a:noFill/>
                    <a:ln>
                      <a:noFill/>
                    </a:ln>
                    <a:extLst>
                      <a:ext uri="{53640926-AAD7-44D8-BBD7-CCE9431645EC}">
                        <a14:shadowObscured xmlns:a14="http://schemas.microsoft.com/office/drawing/2010/main"/>
                      </a:ext>
                    </a:extLst>
                  </pic:spPr>
                </pic:pic>
              </a:graphicData>
            </a:graphic>
          </wp:inline>
        </w:drawing>
      </w:r>
    </w:p>
    <w:sectPr w:rsidR="0065702E" w:rsidRPr="00E94E2A" w:rsidSect="006F2FBA">
      <w:pgSz w:w="16840" w:h="11907" w:orient="landscape" w:code="9"/>
      <w:pgMar w:top="1418" w:right="629" w:bottom="1418" w:left="170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4FA" w:rsidRDefault="00DA04FA" w:rsidP="00507C18">
      <w:r>
        <w:separator/>
      </w:r>
    </w:p>
  </w:endnote>
  <w:endnote w:type="continuationSeparator" w:id="0">
    <w:p w:rsidR="00DA04FA" w:rsidRDefault="00DA04FA" w:rsidP="00507C18">
      <w:r>
        <w:continuationSeparator/>
      </w:r>
    </w:p>
  </w:endnote>
  <w:endnote w:type="continuationNotice" w:id="1">
    <w:p w:rsidR="00DA04FA" w:rsidRDefault="00DA04FA" w:rsidP="00507C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Times New Roman"/>
    <w:charset w:val="EE"/>
    <w:family w:val="swiss"/>
    <w:pitch w:val="variable"/>
    <w:sig w:usb0="E00002EF" w:usb1="4000205B" w:usb2="00000028" w:usb3="00000000" w:csb0="0000019F" w:csb1="00000000"/>
  </w:font>
  <w:font w:name="Aller">
    <w:altName w:val="Corbel"/>
    <w:charset w:val="EE"/>
    <w:family w:val="auto"/>
    <w:pitch w:val="variable"/>
    <w:sig w:usb0="A00000AF"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Optima">
    <w:altName w:val="Times New Roman"/>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4572452"/>
      <w:docPartObj>
        <w:docPartGallery w:val="Page Numbers (Bottom of Page)"/>
        <w:docPartUnique/>
      </w:docPartObj>
    </w:sdtPr>
    <w:sdtEndPr/>
    <w:sdtContent>
      <w:sdt>
        <w:sdtPr>
          <w:id w:val="860082579"/>
          <w:docPartObj>
            <w:docPartGallery w:val="Page Numbers (Top of Page)"/>
            <w:docPartUnique/>
          </w:docPartObj>
        </w:sdtPr>
        <w:sdtEndPr/>
        <w:sdtContent>
          <w:p w:rsidR="006C6849" w:rsidRPr="00365823" w:rsidRDefault="005F045F">
            <w:pPr>
              <w:pStyle w:val="Footer"/>
              <w:jc w:val="right"/>
            </w:pPr>
            <w:r w:rsidRPr="00365823">
              <w:rPr>
                <w:bCs/>
              </w:rPr>
              <w:fldChar w:fldCharType="begin"/>
            </w:r>
            <w:r w:rsidR="006C6849" w:rsidRPr="00365823">
              <w:rPr>
                <w:bCs/>
              </w:rPr>
              <w:instrText>PAGE</w:instrText>
            </w:r>
            <w:r w:rsidRPr="00365823">
              <w:rPr>
                <w:bCs/>
              </w:rPr>
              <w:fldChar w:fldCharType="separate"/>
            </w:r>
            <w:r w:rsidR="00356BB5">
              <w:rPr>
                <w:bCs/>
                <w:noProof/>
              </w:rPr>
              <w:t>1</w:t>
            </w:r>
            <w:r w:rsidRPr="00365823">
              <w:rPr>
                <w:bCs/>
              </w:rPr>
              <w:fldChar w:fldCharType="end"/>
            </w:r>
            <w:r w:rsidR="006C6849" w:rsidRPr="00365823">
              <w:rPr>
                <w:lang w:val="hu-HU"/>
              </w:rPr>
              <w:t xml:space="preserve"> / </w:t>
            </w:r>
            <w:r w:rsidRPr="00365823">
              <w:rPr>
                <w:bCs/>
              </w:rPr>
              <w:fldChar w:fldCharType="begin"/>
            </w:r>
            <w:r w:rsidR="006C6849" w:rsidRPr="00365823">
              <w:rPr>
                <w:bCs/>
              </w:rPr>
              <w:instrText>NUMPAGES</w:instrText>
            </w:r>
            <w:r w:rsidRPr="00365823">
              <w:rPr>
                <w:bCs/>
              </w:rPr>
              <w:fldChar w:fldCharType="separate"/>
            </w:r>
            <w:r w:rsidR="00356BB5">
              <w:rPr>
                <w:bCs/>
                <w:noProof/>
              </w:rPr>
              <w:t>16</w:t>
            </w:r>
            <w:r w:rsidRPr="00365823">
              <w:rPr>
                <w:bCs/>
              </w:rPr>
              <w:fldChar w:fldCharType="end"/>
            </w:r>
          </w:p>
        </w:sdtContent>
      </w:sdt>
    </w:sdtContent>
  </w:sdt>
  <w:p w:rsidR="006C6849" w:rsidRDefault="006C6849">
    <w:pPr>
      <w:pStyle w:val="Footer"/>
    </w:pPr>
  </w:p>
  <w:p w:rsidR="009E15B6" w:rsidRDefault="009E15B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114526"/>
      <w:docPartObj>
        <w:docPartGallery w:val="Page Numbers (Bottom of Page)"/>
        <w:docPartUnique/>
      </w:docPartObj>
    </w:sdtPr>
    <w:sdtEndPr/>
    <w:sdtContent>
      <w:p w:rsidR="006C6849" w:rsidRDefault="006C6849">
        <w:pPr>
          <w:pStyle w:val="Footer"/>
          <w:jc w:val="right"/>
        </w:pPr>
      </w:p>
      <w:p w:rsidR="006C6849" w:rsidRDefault="005F045F">
        <w:pPr>
          <w:pStyle w:val="Footer"/>
          <w:jc w:val="right"/>
        </w:pPr>
        <w:r>
          <w:fldChar w:fldCharType="begin"/>
        </w:r>
        <w:r w:rsidR="00A90FD4">
          <w:instrText>PAGE   \* MERGEFORMAT</w:instrText>
        </w:r>
        <w:r>
          <w:fldChar w:fldCharType="separate"/>
        </w:r>
        <w:r w:rsidR="006C6849" w:rsidRPr="00FA3561">
          <w:rPr>
            <w:noProof/>
            <w:lang w:val="hu-HU"/>
          </w:rPr>
          <w:t>2</w:t>
        </w:r>
        <w:r>
          <w:rPr>
            <w:noProof/>
            <w:lang w:val="hu-HU"/>
          </w:rPr>
          <w:fldChar w:fldCharType="end"/>
        </w:r>
      </w:p>
    </w:sdtContent>
  </w:sdt>
  <w:p w:rsidR="006C6849" w:rsidRPr="00CE2018" w:rsidRDefault="006C6849" w:rsidP="00507C18">
    <w:pPr>
      <w:pStyle w:val="Footer"/>
    </w:pPr>
  </w:p>
  <w:p w:rsidR="009E15B6" w:rsidRDefault="009E15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4FA" w:rsidRDefault="00DA04FA" w:rsidP="00507C18">
      <w:r>
        <w:separator/>
      </w:r>
    </w:p>
  </w:footnote>
  <w:footnote w:type="continuationSeparator" w:id="0">
    <w:p w:rsidR="00DA04FA" w:rsidRDefault="00DA04FA" w:rsidP="00507C18">
      <w:r>
        <w:continuationSeparator/>
      </w:r>
    </w:p>
  </w:footnote>
  <w:footnote w:type="continuationNotice" w:id="1">
    <w:p w:rsidR="00DA04FA" w:rsidRDefault="00DA04FA" w:rsidP="00507C18"/>
  </w:footnote>
  <w:footnote w:id="2">
    <w:p w:rsidR="00042E53" w:rsidRDefault="00042E53" w:rsidP="00042E53">
      <w:pPr>
        <w:pStyle w:val="FootnoteText"/>
        <w:rPr>
          <w:rFonts w:cs="Arial"/>
          <w:sz w:val="18"/>
          <w:szCs w:val="18"/>
        </w:rPr>
      </w:pPr>
      <w:r>
        <w:rPr>
          <w:rStyle w:val="FootnoteReference"/>
          <w:rFonts w:cs="Arial"/>
          <w:sz w:val="18"/>
          <w:szCs w:val="18"/>
        </w:rPr>
        <w:footnoteRef/>
      </w:r>
      <w:r w:rsidR="0065702E">
        <w:rPr>
          <w:rFonts w:cs="Arial"/>
          <w:sz w:val="18"/>
          <w:szCs w:val="18"/>
        </w:rPr>
        <w:t xml:space="preserve"> </w:t>
      </w:r>
      <w:proofErr w:type="gramStart"/>
      <w:r>
        <w:rPr>
          <w:rFonts w:cs="Arial"/>
          <w:sz w:val="18"/>
          <w:szCs w:val="18"/>
        </w:rPr>
        <w:t>Entered into force on 1 December 2009.</w:t>
      </w:r>
      <w:proofErr w:type="gramEnd"/>
    </w:p>
  </w:footnote>
  <w:footnote w:id="3">
    <w:p w:rsidR="0065702E" w:rsidRPr="006F2FBA" w:rsidRDefault="0065702E" w:rsidP="0065702E">
      <w:pPr>
        <w:pStyle w:val="FootnoteText"/>
        <w:rPr>
          <w:rFonts w:cs="Arial"/>
          <w:sz w:val="16"/>
          <w:szCs w:val="16"/>
        </w:rPr>
      </w:pPr>
      <w:r>
        <w:rPr>
          <w:rStyle w:val="FootnoteReference"/>
        </w:rPr>
        <w:footnoteRef/>
      </w:r>
      <w:r>
        <w:t xml:space="preserve"> </w:t>
      </w:r>
      <w:proofErr w:type="spellStart"/>
      <w:r w:rsidRPr="006F2FBA">
        <w:rPr>
          <w:rFonts w:cs="Arial"/>
          <w:sz w:val="16"/>
          <w:szCs w:val="16"/>
        </w:rPr>
        <w:t>Abony</w:t>
      </w:r>
      <w:proofErr w:type="spellEnd"/>
      <w:r w:rsidRPr="006F2FBA">
        <w:rPr>
          <w:rFonts w:cs="Arial"/>
          <w:sz w:val="16"/>
          <w:szCs w:val="16"/>
        </w:rPr>
        <w:t xml:space="preserve">, </w:t>
      </w:r>
      <w:proofErr w:type="spellStart"/>
      <w:r w:rsidRPr="006F2FBA">
        <w:rPr>
          <w:rFonts w:cs="Arial"/>
          <w:sz w:val="16"/>
          <w:szCs w:val="16"/>
        </w:rPr>
        <w:t>Alsónémedi</w:t>
      </w:r>
      <w:proofErr w:type="spellEnd"/>
      <w:r w:rsidRPr="006F2FBA">
        <w:rPr>
          <w:rFonts w:cs="Arial"/>
          <w:sz w:val="16"/>
          <w:szCs w:val="16"/>
        </w:rPr>
        <w:t xml:space="preserve">, </w:t>
      </w:r>
      <w:proofErr w:type="spellStart"/>
      <w:r w:rsidRPr="006F2FBA">
        <w:rPr>
          <w:rFonts w:cs="Arial"/>
          <w:sz w:val="16"/>
          <w:szCs w:val="16"/>
        </w:rPr>
        <w:t>Áporka</w:t>
      </w:r>
      <w:proofErr w:type="spellEnd"/>
      <w:r w:rsidRPr="006F2FBA">
        <w:rPr>
          <w:rFonts w:cs="Arial"/>
          <w:sz w:val="16"/>
          <w:szCs w:val="16"/>
        </w:rPr>
        <w:t xml:space="preserve">, </w:t>
      </w:r>
      <w:proofErr w:type="spellStart"/>
      <w:r w:rsidRPr="006F2FBA">
        <w:rPr>
          <w:rFonts w:cs="Arial"/>
          <w:sz w:val="16"/>
          <w:szCs w:val="16"/>
        </w:rPr>
        <w:t>Aszód</w:t>
      </w:r>
      <w:proofErr w:type="spellEnd"/>
      <w:r w:rsidRPr="006F2FBA">
        <w:rPr>
          <w:rFonts w:cs="Arial"/>
          <w:sz w:val="16"/>
          <w:szCs w:val="16"/>
        </w:rPr>
        <w:t xml:space="preserve">, Bag, </w:t>
      </w:r>
      <w:proofErr w:type="spellStart"/>
      <w:r w:rsidRPr="006F2FBA">
        <w:rPr>
          <w:rFonts w:cs="Arial"/>
          <w:sz w:val="16"/>
          <w:szCs w:val="16"/>
        </w:rPr>
        <w:t>Bernecebaráti</w:t>
      </w:r>
      <w:proofErr w:type="spellEnd"/>
      <w:r w:rsidRPr="006F2FBA">
        <w:rPr>
          <w:rFonts w:cs="Arial"/>
          <w:sz w:val="16"/>
          <w:szCs w:val="16"/>
        </w:rPr>
        <w:t xml:space="preserve">, </w:t>
      </w:r>
      <w:proofErr w:type="spellStart"/>
      <w:r w:rsidRPr="006F2FBA">
        <w:rPr>
          <w:rFonts w:cs="Arial"/>
          <w:sz w:val="16"/>
          <w:szCs w:val="16"/>
        </w:rPr>
        <w:t>Cegléd</w:t>
      </w:r>
      <w:proofErr w:type="spellEnd"/>
      <w:r w:rsidRPr="006F2FBA">
        <w:rPr>
          <w:rFonts w:cs="Arial"/>
          <w:sz w:val="16"/>
          <w:szCs w:val="16"/>
        </w:rPr>
        <w:t xml:space="preserve">, </w:t>
      </w:r>
      <w:proofErr w:type="spellStart"/>
      <w:r w:rsidRPr="006F2FBA">
        <w:rPr>
          <w:rFonts w:cs="Arial"/>
          <w:sz w:val="16"/>
          <w:szCs w:val="16"/>
        </w:rPr>
        <w:t>Csemő</w:t>
      </w:r>
      <w:proofErr w:type="spellEnd"/>
      <w:r w:rsidRPr="006F2FBA">
        <w:rPr>
          <w:rFonts w:cs="Arial"/>
          <w:sz w:val="16"/>
          <w:szCs w:val="16"/>
        </w:rPr>
        <w:t xml:space="preserve">, </w:t>
      </w:r>
      <w:proofErr w:type="spellStart"/>
      <w:r w:rsidRPr="006F2FBA">
        <w:rPr>
          <w:rFonts w:cs="Arial"/>
          <w:sz w:val="16"/>
          <w:szCs w:val="16"/>
        </w:rPr>
        <w:t>Dabas</w:t>
      </w:r>
      <w:proofErr w:type="spellEnd"/>
      <w:r w:rsidRPr="006F2FBA">
        <w:rPr>
          <w:rFonts w:cs="Arial"/>
          <w:sz w:val="16"/>
          <w:szCs w:val="16"/>
        </w:rPr>
        <w:t xml:space="preserve">, </w:t>
      </w:r>
      <w:proofErr w:type="spellStart"/>
      <w:r w:rsidRPr="006F2FBA">
        <w:rPr>
          <w:rFonts w:cs="Arial"/>
          <w:sz w:val="16"/>
          <w:szCs w:val="16"/>
        </w:rPr>
        <w:t>Domony</w:t>
      </w:r>
      <w:proofErr w:type="spellEnd"/>
      <w:r w:rsidRPr="006F2FBA">
        <w:rPr>
          <w:rFonts w:cs="Arial"/>
          <w:sz w:val="16"/>
          <w:szCs w:val="16"/>
        </w:rPr>
        <w:t xml:space="preserve">, </w:t>
      </w:r>
      <w:proofErr w:type="spellStart"/>
      <w:r w:rsidRPr="006F2FBA">
        <w:rPr>
          <w:rFonts w:cs="Arial"/>
          <w:sz w:val="16"/>
          <w:szCs w:val="16"/>
        </w:rPr>
        <w:t>Dömsöd</w:t>
      </w:r>
      <w:proofErr w:type="spellEnd"/>
      <w:r w:rsidRPr="006F2FBA">
        <w:rPr>
          <w:rFonts w:cs="Arial"/>
          <w:sz w:val="16"/>
          <w:szCs w:val="16"/>
        </w:rPr>
        <w:t xml:space="preserve">, </w:t>
      </w:r>
      <w:proofErr w:type="spellStart"/>
      <w:r w:rsidRPr="006F2FBA">
        <w:rPr>
          <w:rFonts w:cs="Arial"/>
          <w:sz w:val="16"/>
          <w:szCs w:val="16"/>
        </w:rPr>
        <w:t>Dunaharaszti</w:t>
      </w:r>
      <w:proofErr w:type="spellEnd"/>
      <w:r w:rsidRPr="006F2FBA">
        <w:rPr>
          <w:rFonts w:cs="Arial"/>
          <w:sz w:val="16"/>
          <w:szCs w:val="16"/>
        </w:rPr>
        <w:t xml:space="preserve">, </w:t>
      </w:r>
      <w:proofErr w:type="spellStart"/>
      <w:r w:rsidRPr="006F2FBA">
        <w:rPr>
          <w:rFonts w:cs="Arial"/>
          <w:sz w:val="16"/>
          <w:szCs w:val="16"/>
        </w:rPr>
        <w:t>Ecser</w:t>
      </w:r>
      <w:proofErr w:type="spellEnd"/>
      <w:r w:rsidRPr="006F2FBA">
        <w:rPr>
          <w:rFonts w:cs="Arial"/>
          <w:sz w:val="16"/>
          <w:szCs w:val="16"/>
        </w:rPr>
        <w:t xml:space="preserve">, </w:t>
      </w:r>
      <w:proofErr w:type="spellStart"/>
      <w:r w:rsidRPr="006F2FBA">
        <w:rPr>
          <w:rFonts w:cs="Arial"/>
          <w:sz w:val="16"/>
          <w:szCs w:val="16"/>
        </w:rPr>
        <w:t>Érd</w:t>
      </w:r>
      <w:proofErr w:type="spellEnd"/>
      <w:r w:rsidRPr="006F2FBA">
        <w:rPr>
          <w:rFonts w:cs="Arial"/>
          <w:sz w:val="16"/>
          <w:szCs w:val="16"/>
        </w:rPr>
        <w:t xml:space="preserve">, </w:t>
      </w:r>
      <w:proofErr w:type="spellStart"/>
      <w:r w:rsidRPr="006F2FBA">
        <w:rPr>
          <w:rFonts w:cs="Arial"/>
          <w:sz w:val="16"/>
          <w:szCs w:val="16"/>
        </w:rPr>
        <w:t>Farmos</w:t>
      </w:r>
      <w:proofErr w:type="spellEnd"/>
      <w:r w:rsidRPr="006F2FBA">
        <w:rPr>
          <w:rFonts w:cs="Arial"/>
          <w:sz w:val="16"/>
          <w:szCs w:val="16"/>
        </w:rPr>
        <w:t xml:space="preserve">, </w:t>
      </w:r>
      <w:proofErr w:type="spellStart"/>
      <w:r w:rsidRPr="006F2FBA">
        <w:rPr>
          <w:rFonts w:cs="Arial"/>
          <w:sz w:val="16"/>
          <w:szCs w:val="16"/>
        </w:rPr>
        <w:t>Felsőpakony</w:t>
      </w:r>
      <w:proofErr w:type="spellEnd"/>
      <w:r w:rsidRPr="006F2FBA">
        <w:rPr>
          <w:rFonts w:cs="Arial"/>
          <w:sz w:val="16"/>
          <w:szCs w:val="16"/>
        </w:rPr>
        <w:t xml:space="preserve">, </w:t>
      </w:r>
      <w:proofErr w:type="spellStart"/>
      <w:r w:rsidRPr="006F2FBA">
        <w:rPr>
          <w:rFonts w:cs="Arial"/>
          <w:sz w:val="16"/>
          <w:szCs w:val="16"/>
        </w:rPr>
        <w:t>Galgagyörk</w:t>
      </w:r>
      <w:proofErr w:type="spellEnd"/>
      <w:r w:rsidRPr="006F2FBA">
        <w:rPr>
          <w:rFonts w:cs="Arial"/>
          <w:sz w:val="16"/>
          <w:szCs w:val="16"/>
        </w:rPr>
        <w:t xml:space="preserve">, </w:t>
      </w:r>
      <w:proofErr w:type="spellStart"/>
      <w:r w:rsidRPr="006F2FBA">
        <w:rPr>
          <w:rFonts w:cs="Arial"/>
          <w:sz w:val="16"/>
          <w:szCs w:val="16"/>
        </w:rPr>
        <w:t>Galgahévíz</w:t>
      </w:r>
      <w:proofErr w:type="spellEnd"/>
      <w:r w:rsidRPr="006F2FBA">
        <w:rPr>
          <w:rFonts w:cs="Arial"/>
          <w:sz w:val="16"/>
          <w:szCs w:val="16"/>
        </w:rPr>
        <w:t xml:space="preserve">, </w:t>
      </w:r>
      <w:proofErr w:type="spellStart"/>
      <w:r w:rsidRPr="006F2FBA">
        <w:rPr>
          <w:rFonts w:cs="Arial"/>
          <w:sz w:val="16"/>
          <w:szCs w:val="16"/>
        </w:rPr>
        <w:t>Galgamácsa</w:t>
      </w:r>
      <w:proofErr w:type="spellEnd"/>
      <w:r w:rsidRPr="006F2FBA">
        <w:rPr>
          <w:rFonts w:cs="Arial"/>
          <w:sz w:val="16"/>
          <w:szCs w:val="16"/>
        </w:rPr>
        <w:t xml:space="preserve">, </w:t>
      </w:r>
      <w:proofErr w:type="spellStart"/>
      <w:r w:rsidRPr="006F2FBA">
        <w:rPr>
          <w:rFonts w:cs="Arial"/>
          <w:sz w:val="16"/>
          <w:szCs w:val="16"/>
        </w:rPr>
        <w:t>Gödöllő</w:t>
      </w:r>
      <w:proofErr w:type="spellEnd"/>
      <w:r w:rsidRPr="006F2FBA">
        <w:rPr>
          <w:rFonts w:cs="Arial"/>
          <w:sz w:val="16"/>
          <w:szCs w:val="16"/>
        </w:rPr>
        <w:t xml:space="preserve">, </w:t>
      </w:r>
      <w:proofErr w:type="spellStart"/>
      <w:r w:rsidRPr="006F2FBA">
        <w:rPr>
          <w:rFonts w:cs="Arial"/>
          <w:sz w:val="16"/>
          <w:szCs w:val="16"/>
        </w:rPr>
        <w:t>Gyál</w:t>
      </w:r>
      <w:proofErr w:type="spellEnd"/>
      <w:r w:rsidRPr="006F2FBA">
        <w:rPr>
          <w:rFonts w:cs="Arial"/>
          <w:sz w:val="16"/>
          <w:szCs w:val="16"/>
        </w:rPr>
        <w:t xml:space="preserve">, </w:t>
      </w:r>
      <w:proofErr w:type="spellStart"/>
      <w:r w:rsidRPr="006F2FBA">
        <w:rPr>
          <w:rFonts w:cs="Arial"/>
          <w:sz w:val="16"/>
          <w:szCs w:val="16"/>
        </w:rPr>
        <w:t>Gyömrő</w:t>
      </w:r>
      <w:proofErr w:type="spellEnd"/>
      <w:r w:rsidRPr="006F2FBA">
        <w:rPr>
          <w:rFonts w:cs="Arial"/>
          <w:sz w:val="16"/>
          <w:szCs w:val="16"/>
        </w:rPr>
        <w:t xml:space="preserve">, </w:t>
      </w:r>
      <w:proofErr w:type="spellStart"/>
      <w:r w:rsidRPr="006F2FBA">
        <w:rPr>
          <w:rFonts w:cs="Arial"/>
          <w:sz w:val="16"/>
          <w:szCs w:val="16"/>
        </w:rPr>
        <w:t>Halásztelek</w:t>
      </w:r>
      <w:proofErr w:type="spellEnd"/>
      <w:r w:rsidRPr="006F2FBA">
        <w:rPr>
          <w:rFonts w:cs="Arial"/>
          <w:sz w:val="16"/>
          <w:szCs w:val="16"/>
        </w:rPr>
        <w:t xml:space="preserve">, </w:t>
      </w:r>
      <w:proofErr w:type="spellStart"/>
      <w:r w:rsidRPr="006F2FBA">
        <w:rPr>
          <w:rFonts w:cs="Arial"/>
          <w:sz w:val="16"/>
          <w:szCs w:val="16"/>
        </w:rPr>
        <w:t>Hévízgyörk</w:t>
      </w:r>
      <w:proofErr w:type="spellEnd"/>
      <w:r w:rsidRPr="006F2FBA">
        <w:rPr>
          <w:rFonts w:cs="Arial"/>
          <w:sz w:val="16"/>
          <w:szCs w:val="16"/>
        </w:rPr>
        <w:t xml:space="preserve">, </w:t>
      </w:r>
      <w:proofErr w:type="spellStart"/>
      <w:r w:rsidRPr="006F2FBA">
        <w:rPr>
          <w:rFonts w:cs="Arial"/>
          <w:sz w:val="16"/>
          <w:szCs w:val="16"/>
        </w:rPr>
        <w:t>Iklad</w:t>
      </w:r>
      <w:proofErr w:type="spellEnd"/>
      <w:r w:rsidRPr="006F2FBA">
        <w:rPr>
          <w:rFonts w:cs="Arial"/>
          <w:sz w:val="16"/>
          <w:szCs w:val="16"/>
        </w:rPr>
        <w:t xml:space="preserve">, </w:t>
      </w:r>
      <w:proofErr w:type="spellStart"/>
      <w:r w:rsidRPr="006F2FBA">
        <w:rPr>
          <w:rFonts w:cs="Arial"/>
          <w:sz w:val="16"/>
          <w:szCs w:val="16"/>
        </w:rPr>
        <w:t>Ipolydamásd</w:t>
      </w:r>
      <w:proofErr w:type="spellEnd"/>
      <w:r w:rsidRPr="006F2FBA">
        <w:rPr>
          <w:rFonts w:cs="Arial"/>
          <w:sz w:val="16"/>
          <w:szCs w:val="16"/>
        </w:rPr>
        <w:t xml:space="preserve">, </w:t>
      </w:r>
      <w:proofErr w:type="spellStart"/>
      <w:r w:rsidRPr="006F2FBA">
        <w:rPr>
          <w:rFonts w:cs="Arial"/>
          <w:sz w:val="16"/>
          <w:szCs w:val="16"/>
        </w:rPr>
        <w:t>Ipolytölgyes</w:t>
      </w:r>
      <w:proofErr w:type="spellEnd"/>
      <w:r w:rsidRPr="006F2FBA">
        <w:rPr>
          <w:rFonts w:cs="Arial"/>
          <w:sz w:val="16"/>
          <w:szCs w:val="16"/>
        </w:rPr>
        <w:t xml:space="preserve">, </w:t>
      </w:r>
      <w:proofErr w:type="spellStart"/>
      <w:r w:rsidRPr="006F2FBA">
        <w:rPr>
          <w:rFonts w:cs="Arial"/>
          <w:sz w:val="16"/>
          <w:szCs w:val="16"/>
        </w:rPr>
        <w:t>Jászkarajenő</w:t>
      </w:r>
      <w:proofErr w:type="spellEnd"/>
      <w:r w:rsidRPr="006F2FBA">
        <w:rPr>
          <w:rFonts w:cs="Arial"/>
          <w:sz w:val="16"/>
          <w:szCs w:val="16"/>
        </w:rPr>
        <w:t xml:space="preserve">, </w:t>
      </w:r>
      <w:proofErr w:type="spellStart"/>
      <w:r w:rsidRPr="006F2FBA">
        <w:rPr>
          <w:rFonts w:cs="Arial"/>
          <w:sz w:val="16"/>
          <w:szCs w:val="16"/>
        </w:rPr>
        <w:t>Kartal</w:t>
      </w:r>
      <w:proofErr w:type="spellEnd"/>
      <w:r w:rsidRPr="006F2FBA">
        <w:rPr>
          <w:rFonts w:cs="Arial"/>
          <w:sz w:val="16"/>
          <w:szCs w:val="16"/>
        </w:rPr>
        <w:t xml:space="preserve">, </w:t>
      </w:r>
      <w:proofErr w:type="spellStart"/>
      <w:r w:rsidRPr="006F2FBA">
        <w:rPr>
          <w:rFonts w:cs="Arial"/>
          <w:sz w:val="16"/>
          <w:szCs w:val="16"/>
        </w:rPr>
        <w:t>Kemence</w:t>
      </w:r>
      <w:proofErr w:type="spellEnd"/>
      <w:r w:rsidRPr="006F2FBA">
        <w:rPr>
          <w:rFonts w:cs="Arial"/>
          <w:sz w:val="16"/>
          <w:szCs w:val="16"/>
        </w:rPr>
        <w:t xml:space="preserve">, </w:t>
      </w:r>
      <w:proofErr w:type="spellStart"/>
      <w:r w:rsidRPr="006F2FBA">
        <w:rPr>
          <w:rFonts w:cs="Arial"/>
          <w:sz w:val="16"/>
          <w:szCs w:val="16"/>
        </w:rPr>
        <w:t>Kiskunlacháza</w:t>
      </w:r>
      <w:proofErr w:type="spellEnd"/>
      <w:r w:rsidRPr="006F2FBA">
        <w:rPr>
          <w:rFonts w:cs="Arial"/>
          <w:sz w:val="16"/>
          <w:szCs w:val="16"/>
        </w:rPr>
        <w:t xml:space="preserve">, </w:t>
      </w:r>
      <w:proofErr w:type="spellStart"/>
      <w:r w:rsidRPr="006F2FBA">
        <w:rPr>
          <w:rFonts w:cs="Arial"/>
          <w:sz w:val="16"/>
          <w:szCs w:val="16"/>
        </w:rPr>
        <w:t>Kisnémedi</w:t>
      </w:r>
      <w:proofErr w:type="spellEnd"/>
      <w:r w:rsidRPr="006F2FBA">
        <w:rPr>
          <w:rFonts w:cs="Arial"/>
          <w:sz w:val="16"/>
          <w:szCs w:val="16"/>
        </w:rPr>
        <w:t xml:space="preserve">, </w:t>
      </w:r>
      <w:proofErr w:type="spellStart"/>
      <w:r w:rsidRPr="006F2FBA">
        <w:rPr>
          <w:rFonts w:cs="Arial"/>
          <w:sz w:val="16"/>
          <w:szCs w:val="16"/>
        </w:rPr>
        <w:t>Kocsér</w:t>
      </w:r>
      <w:proofErr w:type="spellEnd"/>
      <w:r w:rsidRPr="006F2FBA">
        <w:rPr>
          <w:rFonts w:cs="Arial"/>
          <w:sz w:val="16"/>
          <w:szCs w:val="16"/>
        </w:rPr>
        <w:t xml:space="preserve">, </w:t>
      </w:r>
      <w:proofErr w:type="spellStart"/>
      <w:r w:rsidRPr="006F2FBA">
        <w:rPr>
          <w:rFonts w:cs="Arial"/>
          <w:sz w:val="16"/>
          <w:szCs w:val="16"/>
        </w:rPr>
        <w:t>Kóspallag</w:t>
      </w:r>
      <w:proofErr w:type="spellEnd"/>
      <w:r w:rsidRPr="006F2FBA">
        <w:rPr>
          <w:rFonts w:cs="Arial"/>
          <w:sz w:val="16"/>
          <w:szCs w:val="16"/>
        </w:rPr>
        <w:t xml:space="preserve">, </w:t>
      </w:r>
      <w:proofErr w:type="spellStart"/>
      <w:r w:rsidRPr="006F2FBA">
        <w:rPr>
          <w:rFonts w:cs="Arial"/>
          <w:sz w:val="16"/>
          <w:szCs w:val="16"/>
        </w:rPr>
        <w:t>Kőröstetétlen</w:t>
      </w:r>
      <w:proofErr w:type="spellEnd"/>
      <w:r w:rsidRPr="006F2FBA">
        <w:rPr>
          <w:rFonts w:cs="Arial"/>
          <w:sz w:val="16"/>
          <w:szCs w:val="16"/>
        </w:rPr>
        <w:t xml:space="preserve">, </w:t>
      </w:r>
      <w:proofErr w:type="spellStart"/>
      <w:r w:rsidRPr="006F2FBA">
        <w:rPr>
          <w:rFonts w:cs="Arial"/>
          <w:sz w:val="16"/>
          <w:szCs w:val="16"/>
        </w:rPr>
        <w:t>Letkés</w:t>
      </w:r>
      <w:proofErr w:type="spellEnd"/>
      <w:r w:rsidRPr="006F2FBA">
        <w:rPr>
          <w:rFonts w:cs="Arial"/>
          <w:sz w:val="16"/>
          <w:szCs w:val="16"/>
        </w:rPr>
        <w:t xml:space="preserve">, </w:t>
      </w:r>
      <w:proofErr w:type="spellStart"/>
      <w:r w:rsidRPr="006F2FBA">
        <w:rPr>
          <w:rFonts w:cs="Arial"/>
          <w:sz w:val="16"/>
          <w:szCs w:val="16"/>
        </w:rPr>
        <w:t>Lórév</w:t>
      </w:r>
      <w:proofErr w:type="spellEnd"/>
      <w:r w:rsidRPr="006F2FBA">
        <w:rPr>
          <w:rFonts w:cs="Arial"/>
          <w:sz w:val="16"/>
          <w:szCs w:val="16"/>
        </w:rPr>
        <w:t xml:space="preserve">, </w:t>
      </w:r>
      <w:proofErr w:type="spellStart"/>
      <w:r w:rsidRPr="006F2FBA">
        <w:rPr>
          <w:rFonts w:cs="Arial"/>
          <w:sz w:val="16"/>
          <w:szCs w:val="16"/>
        </w:rPr>
        <w:t>Maglód</w:t>
      </w:r>
      <w:proofErr w:type="spellEnd"/>
      <w:r w:rsidRPr="006F2FBA">
        <w:rPr>
          <w:rFonts w:cs="Arial"/>
          <w:sz w:val="16"/>
          <w:szCs w:val="16"/>
        </w:rPr>
        <w:t xml:space="preserve">, </w:t>
      </w:r>
      <w:proofErr w:type="spellStart"/>
      <w:r w:rsidRPr="006F2FBA">
        <w:rPr>
          <w:rFonts w:cs="Arial"/>
          <w:sz w:val="16"/>
          <w:szCs w:val="16"/>
        </w:rPr>
        <w:t>Makád</w:t>
      </w:r>
      <w:proofErr w:type="spellEnd"/>
      <w:r w:rsidRPr="006F2FBA">
        <w:rPr>
          <w:rFonts w:cs="Arial"/>
          <w:sz w:val="16"/>
          <w:szCs w:val="16"/>
        </w:rPr>
        <w:t xml:space="preserve">, </w:t>
      </w:r>
      <w:proofErr w:type="spellStart"/>
      <w:r w:rsidRPr="006F2FBA">
        <w:rPr>
          <w:rFonts w:cs="Arial"/>
          <w:sz w:val="16"/>
          <w:szCs w:val="16"/>
        </w:rPr>
        <w:t>Márianosztra</w:t>
      </w:r>
      <w:proofErr w:type="spellEnd"/>
      <w:r w:rsidRPr="006F2FBA">
        <w:rPr>
          <w:rFonts w:cs="Arial"/>
          <w:sz w:val="16"/>
          <w:szCs w:val="16"/>
        </w:rPr>
        <w:t xml:space="preserve">, </w:t>
      </w:r>
      <w:proofErr w:type="spellStart"/>
      <w:r w:rsidRPr="006F2FBA">
        <w:rPr>
          <w:rFonts w:cs="Arial"/>
          <w:sz w:val="16"/>
          <w:szCs w:val="16"/>
        </w:rPr>
        <w:t>Mikebuda</w:t>
      </w:r>
      <w:proofErr w:type="spellEnd"/>
      <w:r w:rsidRPr="006F2FBA">
        <w:rPr>
          <w:rFonts w:cs="Arial"/>
          <w:sz w:val="16"/>
          <w:szCs w:val="16"/>
        </w:rPr>
        <w:t xml:space="preserve">, </w:t>
      </w:r>
      <w:proofErr w:type="spellStart"/>
      <w:r w:rsidRPr="006F2FBA">
        <w:rPr>
          <w:rFonts w:cs="Arial"/>
          <w:sz w:val="16"/>
          <w:szCs w:val="16"/>
        </w:rPr>
        <w:t>Monor</w:t>
      </w:r>
      <w:proofErr w:type="spellEnd"/>
      <w:r w:rsidRPr="006F2FBA">
        <w:rPr>
          <w:rFonts w:cs="Arial"/>
          <w:sz w:val="16"/>
          <w:szCs w:val="16"/>
        </w:rPr>
        <w:t xml:space="preserve">, </w:t>
      </w:r>
      <w:proofErr w:type="spellStart"/>
      <w:r w:rsidRPr="006F2FBA">
        <w:rPr>
          <w:rFonts w:cs="Arial"/>
          <w:sz w:val="16"/>
          <w:szCs w:val="16"/>
        </w:rPr>
        <w:t>Nagybörzsöny</w:t>
      </w:r>
      <w:proofErr w:type="spellEnd"/>
      <w:r w:rsidRPr="006F2FBA">
        <w:rPr>
          <w:rFonts w:cs="Arial"/>
          <w:sz w:val="16"/>
          <w:szCs w:val="16"/>
        </w:rPr>
        <w:t xml:space="preserve">, </w:t>
      </w:r>
      <w:proofErr w:type="spellStart"/>
      <w:r w:rsidRPr="006F2FBA">
        <w:rPr>
          <w:rFonts w:cs="Arial"/>
          <w:sz w:val="16"/>
          <w:szCs w:val="16"/>
        </w:rPr>
        <w:t>Nagykáta</w:t>
      </w:r>
      <w:proofErr w:type="spellEnd"/>
      <w:r w:rsidRPr="006F2FBA">
        <w:rPr>
          <w:rFonts w:cs="Arial"/>
          <w:sz w:val="16"/>
          <w:szCs w:val="16"/>
        </w:rPr>
        <w:t xml:space="preserve">, </w:t>
      </w:r>
      <w:proofErr w:type="spellStart"/>
      <w:r w:rsidRPr="006F2FBA">
        <w:rPr>
          <w:rFonts w:cs="Arial"/>
          <w:sz w:val="16"/>
          <w:szCs w:val="16"/>
        </w:rPr>
        <w:t>Nagykőrös</w:t>
      </w:r>
      <w:proofErr w:type="spellEnd"/>
      <w:r w:rsidRPr="006F2FBA">
        <w:rPr>
          <w:rFonts w:cs="Arial"/>
          <w:sz w:val="16"/>
          <w:szCs w:val="16"/>
        </w:rPr>
        <w:t xml:space="preserve">, </w:t>
      </w:r>
      <w:proofErr w:type="spellStart"/>
      <w:r w:rsidRPr="006F2FBA">
        <w:rPr>
          <w:rFonts w:cs="Arial"/>
          <w:sz w:val="16"/>
          <w:szCs w:val="16"/>
        </w:rPr>
        <w:t>Nagytarcsa</w:t>
      </w:r>
      <w:proofErr w:type="spellEnd"/>
      <w:r w:rsidRPr="006F2FBA">
        <w:rPr>
          <w:rFonts w:cs="Arial"/>
          <w:sz w:val="16"/>
          <w:szCs w:val="16"/>
        </w:rPr>
        <w:t xml:space="preserve">, </w:t>
      </w:r>
      <w:proofErr w:type="spellStart"/>
      <w:r w:rsidRPr="006F2FBA">
        <w:rPr>
          <w:rFonts w:cs="Arial"/>
          <w:sz w:val="16"/>
          <w:szCs w:val="16"/>
        </w:rPr>
        <w:t>Nyársapát</w:t>
      </w:r>
      <w:proofErr w:type="spellEnd"/>
      <w:r w:rsidRPr="006F2FBA">
        <w:rPr>
          <w:rFonts w:cs="Arial"/>
          <w:sz w:val="16"/>
          <w:szCs w:val="16"/>
        </w:rPr>
        <w:t xml:space="preserve">, </w:t>
      </w:r>
      <w:proofErr w:type="spellStart"/>
      <w:r w:rsidRPr="006F2FBA">
        <w:rPr>
          <w:rFonts w:cs="Arial"/>
          <w:sz w:val="16"/>
          <w:szCs w:val="16"/>
        </w:rPr>
        <w:t>Ócsa</w:t>
      </w:r>
      <w:proofErr w:type="spellEnd"/>
      <w:r w:rsidRPr="006F2FBA">
        <w:rPr>
          <w:rFonts w:cs="Arial"/>
          <w:sz w:val="16"/>
          <w:szCs w:val="16"/>
        </w:rPr>
        <w:t xml:space="preserve">, </w:t>
      </w:r>
      <w:proofErr w:type="spellStart"/>
      <w:r w:rsidRPr="006F2FBA">
        <w:rPr>
          <w:rFonts w:cs="Arial"/>
          <w:sz w:val="16"/>
          <w:szCs w:val="16"/>
        </w:rPr>
        <w:t>Örkény</w:t>
      </w:r>
      <w:proofErr w:type="spellEnd"/>
      <w:r w:rsidRPr="006F2FBA">
        <w:rPr>
          <w:rFonts w:cs="Arial"/>
          <w:sz w:val="16"/>
          <w:szCs w:val="16"/>
        </w:rPr>
        <w:t xml:space="preserve">, </w:t>
      </w:r>
      <w:proofErr w:type="spellStart"/>
      <w:r w:rsidRPr="006F2FBA">
        <w:rPr>
          <w:rFonts w:cs="Arial"/>
          <w:sz w:val="16"/>
          <w:szCs w:val="16"/>
        </w:rPr>
        <w:t>Pécel</w:t>
      </w:r>
      <w:proofErr w:type="spellEnd"/>
      <w:r w:rsidRPr="006F2FBA">
        <w:rPr>
          <w:rFonts w:cs="Arial"/>
          <w:sz w:val="16"/>
          <w:szCs w:val="16"/>
        </w:rPr>
        <w:t xml:space="preserve">, </w:t>
      </w:r>
      <w:proofErr w:type="spellStart"/>
      <w:r w:rsidRPr="006F2FBA">
        <w:rPr>
          <w:rFonts w:cs="Arial"/>
          <w:sz w:val="16"/>
          <w:szCs w:val="16"/>
        </w:rPr>
        <w:t>Perőcsény</w:t>
      </w:r>
      <w:proofErr w:type="spellEnd"/>
      <w:r w:rsidRPr="006F2FBA">
        <w:rPr>
          <w:rFonts w:cs="Arial"/>
          <w:sz w:val="16"/>
          <w:szCs w:val="16"/>
        </w:rPr>
        <w:t xml:space="preserve">, </w:t>
      </w:r>
      <w:proofErr w:type="spellStart"/>
      <w:r w:rsidRPr="006F2FBA">
        <w:rPr>
          <w:rFonts w:cs="Arial"/>
          <w:sz w:val="16"/>
          <w:szCs w:val="16"/>
        </w:rPr>
        <w:t>Péteri</w:t>
      </w:r>
      <w:proofErr w:type="spellEnd"/>
      <w:r w:rsidRPr="006F2FBA">
        <w:rPr>
          <w:rFonts w:cs="Arial"/>
          <w:sz w:val="16"/>
          <w:szCs w:val="16"/>
        </w:rPr>
        <w:t xml:space="preserve">, </w:t>
      </w:r>
      <w:proofErr w:type="spellStart"/>
      <w:r w:rsidRPr="006F2FBA">
        <w:rPr>
          <w:rFonts w:cs="Arial"/>
          <w:sz w:val="16"/>
          <w:szCs w:val="16"/>
        </w:rPr>
        <w:t>Püspökhatvan</w:t>
      </w:r>
      <w:proofErr w:type="spellEnd"/>
      <w:r w:rsidRPr="006F2FBA">
        <w:rPr>
          <w:rFonts w:cs="Arial"/>
          <w:sz w:val="16"/>
          <w:szCs w:val="16"/>
        </w:rPr>
        <w:t xml:space="preserve">, </w:t>
      </w:r>
      <w:proofErr w:type="spellStart"/>
      <w:r w:rsidRPr="006F2FBA">
        <w:rPr>
          <w:rFonts w:cs="Arial"/>
          <w:sz w:val="16"/>
          <w:szCs w:val="16"/>
        </w:rPr>
        <w:t>Püspökszilágy</w:t>
      </w:r>
      <w:proofErr w:type="spellEnd"/>
      <w:r w:rsidRPr="006F2FBA">
        <w:rPr>
          <w:rFonts w:cs="Arial"/>
          <w:sz w:val="16"/>
          <w:szCs w:val="16"/>
        </w:rPr>
        <w:t xml:space="preserve">, </w:t>
      </w:r>
      <w:proofErr w:type="spellStart"/>
      <w:r w:rsidRPr="006F2FBA">
        <w:rPr>
          <w:rFonts w:cs="Arial"/>
          <w:sz w:val="16"/>
          <w:szCs w:val="16"/>
        </w:rPr>
        <w:t>Ráckeve</w:t>
      </w:r>
      <w:proofErr w:type="spellEnd"/>
      <w:r w:rsidRPr="006F2FBA">
        <w:rPr>
          <w:rFonts w:cs="Arial"/>
          <w:sz w:val="16"/>
          <w:szCs w:val="16"/>
        </w:rPr>
        <w:t xml:space="preserve">, </w:t>
      </w:r>
      <w:proofErr w:type="spellStart"/>
      <w:r w:rsidRPr="006F2FBA">
        <w:rPr>
          <w:rFonts w:cs="Arial"/>
          <w:sz w:val="16"/>
          <w:szCs w:val="16"/>
        </w:rPr>
        <w:t>Szentmártonkáta</w:t>
      </w:r>
      <w:proofErr w:type="spellEnd"/>
      <w:r w:rsidRPr="006F2FBA">
        <w:rPr>
          <w:rFonts w:cs="Arial"/>
          <w:sz w:val="16"/>
          <w:szCs w:val="16"/>
        </w:rPr>
        <w:t xml:space="preserve">, </w:t>
      </w:r>
      <w:proofErr w:type="spellStart"/>
      <w:r w:rsidRPr="006F2FBA">
        <w:rPr>
          <w:rFonts w:cs="Arial"/>
          <w:sz w:val="16"/>
          <w:szCs w:val="16"/>
        </w:rPr>
        <w:t>Szigetbecse</w:t>
      </w:r>
      <w:proofErr w:type="spellEnd"/>
      <w:r w:rsidRPr="006F2FBA">
        <w:rPr>
          <w:rFonts w:cs="Arial"/>
          <w:sz w:val="16"/>
          <w:szCs w:val="16"/>
        </w:rPr>
        <w:t xml:space="preserve">, </w:t>
      </w:r>
      <w:proofErr w:type="spellStart"/>
      <w:r w:rsidRPr="006F2FBA">
        <w:rPr>
          <w:rFonts w:cs="Arial"/>
          <w:sz w:val="16"/>
          <w:szCs w:val="16"/>
        </w:rPr>
        <w:t>Szigetszentmiklós</w:t>
      </w:r>
      <w:proofErr w:type="spellEnd"/>
      <w:r w:rsidRPr="006F2FBA">
        <w:rPr>
          <w:rFonts w:cs="Arial"/>
          <w:sz w:val="16"/>
          <w:szCs w:val="16"/>
        </w:rPr>
        <w:t xml:space="preserve">, </w:t>
      </w:r>
      <w:proofErr w:type="spellStart"/>
      <w:r w:rsidRPr="006F2FBA">
        <w:rPr>
          <w:rFonts w:cs="Arial"/>
          <w:sz w:val="16"/>
          <w:szCs w:val="16"/>
        </w:rPr>
        <w:t>Szob</w:t>
      </w:r>
      <w:proofErr w:type="spellEnd"/>
      <w:r w:rsidRPr="006F2FBA">
        <w:rPr>
          <w:rFonts w:cs="Arial"/>
          <w:sz w:val="16"/>
          <w:szCs w:val="16"/>
        </w:rPr>
        <w:t xml:space="preserve">, </w:t>
      </w:r>
      <w:proofErr w:type="spellStart"/>
      <w:r w:rsidRPr="006F2FBA">
        <w:rPr>
          <w:rFonts w:cs="Arial"/>
          <w:sz w:val="16"/>
          <w:szCs w:val="16"/>
        </w:rPr>
        <w:t>Szokolya</w:t>
      </w:r>
      <w:proofErr w:type="spellEnd"/>
      <w:r w:rsidRPr="006F2FBA">
        <w:rPr>
          <w:rFonts w:cs="Arial"/>
          <w:sz w:val="16"/>
          <w:szCs w:val="16"/>
        </w:rPr>
        <w:t xml:space="preserve">, </w:t>
      </w:r>
      <w:proofErr w:type="spellStart"/>
      <w:r w:rsidRPr="006F2FBA">
        <w:rPr>
          <w:rFonts w:cs="Arial"/>
          <w:sz w:val="16"/>
          <w:szCs w:val="16"/>
        </w:rPr>
        <w:t>Táborfalva</w:t>
      </w:r>
      <w:proofErr w:type="spellEnd"/>
      <w:r w:rsidRPr="006F2FBA">
        <w:rPr>
          <w:rFonts w:cs="Arial"/>
          <w:sz w:val="16"/>
          <w:szCs w:val="16"/>
        </w:rPr>
        <w:t xml:space="preserve">, </w:t>
      </w:r>
      <w:proofErr w:type="spellStart"/>
      <w:r w:rsidRPr="006F2FBA">
        <w:rPr>
          <w:rFonts w:cs="Arial"/>
          <w:sz w:val="16"/>
          <w:szCs w:val="16"/>
        </w:rPr>
        <w:t>Tápióbicske</w:t>
      </w:r>
      <w:proofErr w:type="spellEnd"/>
      <w:r w:rsidRPr="006F2FBA">
        <w:rPr>
          <w:rFonts w:cs="Arial"/>
          <w:sz w:val="16"/>
          <w:szCs w:val="16"/>
        </w:rPr>
        <w:t xml:space="preserve">, </w:t>
      </w:r>
      <w:proofErr w:type="spellStart"/>
      <w:r w:rsidRPr="006F2FBA">
        <w:rPr>
          <w:rFonts w:cs="Arial"/>
          <w:sz w:val="16"/>
          <w:szCs w:val="16"/>
        </w:rPr>
        <w:t>Tápiógyörgye</w:t>
      </w:r>
      <w:proofErr w:type="spellEnd"/>
      <w:r w:rsidRPr="006F2FBA">
        <w:rPr>
          <w:rFonts w:cs="Arial"/>
          <w:sz w:val="16"/>
          <w:szCs w:val="16"/>
        </w:rPr>
        <w:t xml:space="preserve">, </w:t>
      </w:r>
      <w:proofErr w:type="spellStart"/>
      <w:r w:rsidRPr="006F2FBA">
        <w:rPr>
          <w:rFonts w:cs="Arial"/>
          <w:sz w:val="16"/>
          <w:szCs w:val="16"/>
        </w:rPr>
        <w:t>Tápióság</w:t>
      </w:r>
      <w:proofErr w:type="spellEnd"/>
      <w:r w:rsidRPr="006F2FBA">
        <w:rPr>
          <w:rFonts w:cs="Arial"/>
          <w:sz w:val="16"/>
          <w:szCs w:val="16"/>
        </w:rPr>
        <w:t xml:space="preserve">, </w:t>
      </w:r>
      <w:proofErr w:type="spellStart"/>
      <w:r w:rsidRPr="006F2FBA">
        <w:rPr>
          <w:rFonts w:cs="Arial"/>
          <w:sz w:val="16"/>
          <w:szCs w:val="16"/>
        </w:rPr>
        <w:t>Tápiószele</w:t>
      </w:r>
      <w:proofErr w:type="spellEnd"/>
      <w:r w:rsidRPr="006F2FBA">
        <w:rPr>
          <w:rFonts w:cs="Arial"/>
          <w:sz w:val="16"/>
          <w:szCs w:val="16"/>
        </w:rPr>
        <w:t xml:space="preserve">, </w:t>
      </w:r>
      <w:proofErr w:type="spellStart"/>
      <w:r w:rsidRPr="006F2FBA">
        <w:rPr>
          <w:rFonts w:cs="Arial"/>
          <w:sz w:val="16"/>
          <w:szCs w:val="16"/>
        </w:rPr>
        <w:t>Tápiószentmárton</w:t>
      </w:r>
      <w:proofErr w:type="spellEnd"/>
      <w:r w:rsidRPr="006F2FBA">
        <w:rPr>
          <w:rFonts w:cs="Arial"/>
          <w:sz w:val="16"/>
          <w:szCs w:val="16"/>
        </w:rPr>
        <w:t xml:space="preserve">, </w:t>
      </w:r>
      <w:proofErr w:type="spellStart"/>
      <w:r w:rsidRPr="006F2FBA">
        <w:rPr>
          <w:rFonts w:cs="Arial"/>
          <w:sz w:val="16"/>
          <w:szCs w:val="16"/>
        </w:rPr>
        <w:t>Tápiószőlős</w:t>
      </w:r>
      <w:proofErr w:type="spellEnd"/>
      <w:r w:rsidRPr="006F2FBA">
        <w:rPr>
          <w:rFonts w:cs="Arial"/>
          <w:sz w:val="16"/>
          <w:szCs w:val="16"/>
        </w:rPr>
        <w:t xml:space="preserve">, </w:t>
      </w:r>
      <w:proofErr w:type="spellStart"/>
      <w:r w:rsidRPr="006F2FBA">
        <w:rPr>
          <w:rFonts w:cs="Arial"/>
          <w:sz w:val="16"/>
          <w:szCs w:val="16"/>
        </w:rPr>
        <w:t>Tatárszentgyörgy</w:t>
      </w:r>
      <w:proofErr w:type="spellEnd"/>
      <w:r w:rsidRPr="006F2FBA">
        <w:rPr>
          <w:rFonts w:cs="Arial"/>
          <w:sz w:val="16"/>
          <w:szCs w:val="16"/>
        </w:rPr>
        <w:t xml:space="preserve">, </w:t>
      </w:r>
      <w:proofErr w:type="spellStart"/>
      <w:r w:rsidRPr="006F2FBA">
        <w:rPr>
          <w:rFonts w:cs="Arial"/>
          <w:sz w:val="16"/>
          <w:szCs w:val="16"/>
        </w:rPr>
        <w:t>Tésa</w:t>
      </w:r>
      <w:proofErr w:type="spellEnd"/>
      <w:r w:rsidRPr="006F2FBA">
        <w:rPr>
          <w:rFonts w:cs="Arial"/>
          <w:sz w:val="16"/>
          <w:szCs w:val="16"/>
        </w:rPr>
        <w:t xml:space="preserve">, </w:t>
      </w:r>
      <w:proofErr w:type="spellStart"/>
      <w:r w:rsidRPr="006F2FBA">
        <w:rPr>
          <w:rFonts w:cs="Arial"/>
          <w:sz w:val="16"/>
          <w:szCs w:val="16"/>
        </w:rPr>
        <w:t>Törtel</w:t>
      </w:r>
      <w:proofErr w:type="spellEnd"/>
      <w:r w:rsidRPr="006F2FBA">
        <w:rPr>
          <w:rFonts w:cs="Arial"/>
          <w:sz w:val="16"/>
          <w:szCs w:val="16"/>
        </w:rPr>
        <w:t xml:space="preserve">, Tura, </w:t>
      </w:r>
      <w:proofErr w:type="spellStart"/>
      <w:r w:rsidRPr="006F2FBA">
        <w:rPr>
          <w:rFonts w:cs="Arial"/>
          <w:sz w:val="16"/>
          <w:szCs w:val="16"/>
        </w:rPr>
        <w:t>Újhartyán</w:t>
      </w:r>
      <w:proofErr w:type="spellEnd"/>
      <w:r w:rsidRPr="006F2FBA">
        <w:rPr>
          <w:rFonts w:cs="Arial"/>
          <w:sz w:val="16"/>
          <w:szCs w:val="16"/>
        </w:rPr>
        <w:t xml:space="preserve">, </w:t>
      </w:r>
      <w:proofErr w:type="spellStart"/>
      <w:r w:rsidRPr="006F2FBA">
        <w:rPr>
          <w:rFonts w:cs="Arial"/>
          <w:sz w:val="16"/>
          <w:szCs w:val="16"/>
        </w:rPr>
        <w:t>Újszilvás</w:t>
      </w:r>
      <w:proofErr w:type="spellEnd"/>
      <w:r w:rsidRPr="006F2FBA">
        <w:rPr>
          <w:rFonts w:cs="Arial"/>
          <w:sz w:val="16"/>
          <w:szCs w:val="16"/>
        </w:rPr>
        <w:t xml:space="preserve">, </w:t>
      </w:r>
      <w:proofErr w:type="spellStart"/>
      <w:r w:rsidRPr="006F2FBA">
        <w:rPr>
          <w:rFonts w:cs="Arial"/>
          <w:sz w:val="16"/>
          <w:szCs w:val="16"/>
        </w:rPr>
        <w:t>Üllő</w:t>
      </w:r>
      <w:proofErr w:type="spellEnd"/>
      <w:r w:rsidRPr="006F2FBA">
        <w:rPr>
          <w:rFonts w:cs="Arial"/>
          <w:sz w:val="16"/>
          <w:szCs w:val="16"/>
        </w:rPr>
        <w:t xml:space="preserve">, </w:t>
      </w:r>
      <w:proofErr w:type="spellStart"/>
      <w:r w:rsidRPr="006F2FBA">
        <w:rPr>
          <w:rFonts w:cs="Arial"/>
          <w:sz w:val="16"/>
          <w:szCs w:val="16"/>
        </w:rPr>
        <w:t>Vác</w:t>
      </w:r>
      <w:proofErr w:type="spellEnd"/>
      <w:r w:rsidRPr="006F2FBA">
        <w:rPr>
          <w:rFonts w:cs="Arial"/>
          <w:sz w:val="16"/>
          <w:szCs w:val="16"/>
        </w:rPr>
        <w:t xml:space="preserve">, </w:t>
      </w:r>
      <w:proofErr w:type="spellStart"/>
      <w:r w:rsidRPr="006F2FBA">
        <w:rPr>
          <w:rFonts w:cs="Arial"/>
          <w:sz w:val="16"/>
          <w:szCs w:val="16"/>
        </w:rPr>
        <w:t>Váckisújfalu</w:t>
      </w:r>
      <w:proofErr w:type="spellEnd"/>
      <w:r w:rsidRPr="006F2FBA">
        <w:rPr>
          <w:rFonts w:cs="Arial"/>
          <w:sz w:val="16"/>
          <w:szCs w:val="16"/>
        </w:rPr>
        <w:t xml:space="preserve">, </w:t>
      </w:r>
      <w:proofErr w:type="spellStart"/>
      <w:r w:rsidRPr="006F2FBA">
        <w:rPr>
          <w:rFonts w:cs="Arial"/>
          <w:sz w:val="16"/>
          <w:szCs w:val="16"/>
        </w:rPr>
        <w:t>Valkó</w:t>
      </w:r>
      <w:proofErr w:type="spellEnd"/>
      <w:r w:rsidRPr="006F2FBA">
        <w:rPr>
          <w:rFonts w:cs="Arial"/>
          <w:sz w:val="16"/>
          <w:szCs w:val="16"/>
        </w:rPr>
        <w:t xml:space="preserve">, </w:t>
      </w:r>
      <w:proofErr w:type="spellStart"/>
      <w:r w:rsidRPr="006F2FBA">
        <w:rPr>
          <w:rFonts w:cs="Arial"/>
          <w:sz w:val="16"/>
          <w:szCs w:val="16"/>
        </w:rPr>
        <w:t>Vámosmikola</w:t>
      </w:r>
      <w:proofErr w:type="spellEnd"/>
      <w:r w:rsidRPr="006F2FBA">
        <w:rPr>
          <w:rFonts w:cs="Arial"/>
          <w:sz w:val="16"/>
          <w:szCs w:val="16"/>
        </w:rPr>
        <w:t xml:space="preserve">, </w:t>
      </w:r>
      <w:proofErr w:type="spellStart"/>
      <w:r w:rsidRPr="006F2FBA">
        <w:rPr>
          <w:rFonts w:cs="Arial"/>
          <w:sz w:val="16"/>
          <w:szCs w:val="16"/>
        </w:rPr>
        <w:t>Vecsés</w:t>
      </w:r>
      <w:proofErr w:type="spellEnd"/>
      <w:r w:rsidRPr="006F2FBA">
        <w:rPr>
          <w:rFonts w:cs="Arial"/>
          <w:sz w:val="16"/>
          <w:szCs w:val="16"/>
        </w:rPr>
        <w:t xml:space="preserve">, </w:t>
      </w:r>
      <w:proofErr w:type="spellStart"/>
      <w:r w:rsidRPr="006F2FBA">
        <w:rPr>
          <w:rFonts w:cs="Arial"/>
          <w:sz w:val="16"/>
          <w:szCs w:val="16"/>
        </w:rPr>
        <w:t>Verőce</w:t>
      </w:r>
      <w:proofErr w:type="spellEnd"/>
      <w:r w:rsidRPr="006F2FBA">
        <w:rPr>
          <w:rFonts w:cs="Arial"/>
          <w:sz w:val="16"/>
          <w:szCs w:val="16"/>
        </w:rPr>
        <w:t xml:space="preserve">, </w:t>
      </w:r>
      <w:proofErr w:type="spellStart"/>
      <w:r w:rsidRPr="006F2FBA">
        <w:rPr>
          <w:rFonts w:cs="Arial"/>
          <w:sz w:val="16"/>
          <w:szCs w:val="16"/>
        </w:rPr>
        <w:t>Verseg</w:t>
      </w:r>
      <w:proofErr w:type="spellEnd"/>
      <w:r w:rsidRPr="006F2FBA">
        <w:rPr>
          <w:rFonts w:cs="Arial"/>
          <w:sz w:val="16"/>
          <w:szCs w:val="16"/>
        </w:rPr>
        <w:t xml:space="preserve">, </w:t>
      </w:r>
      <w:proofErr w:type="spellStart"/>
      <w:r w:rsidRPr="006F2FBA">
        <w:rPr>
          <w:rFonts w:cs="Arial"/>
          <w:sz w:val="16"/>
          <w:szCs w:val="16"/>
        </w:rPr>
        <w:t>Zebegény</w:t>
      </w:r>
      <w:proofErr w:type="spellEnd"/>
      <w:r w:rsidRPr="006F2FBA">
        <w:rPr>
          <w:rFonts w:cs="Arial"/>
          <w:sz w:val="16"/>
          <w:szCs w:val="16"/>
        </w:rPr>
        <w:t xml:space="preserve"> </w:t>
      </w:r>
    </w:p>
  </w:footnote>
  <w:footnote w:id="4">
    <w:p w:rsidR="0065702E" w:rsidRPr="00917200" w:rsidRDefault="0065702E" w:rsidP="0065702E">
      <w:pPr>
        <w:pStyle w:val="FootnoteText"/>
        <w:rPr>
          <w:rFonts w:cs="Arial"/>
        </w:rPr>
      </w:pPr>
      <w:r w:rsidRPr="00917200">
        <w:rPr>
          <w:rStyle w:val="FootnoteReference"/>
          <w:rFonts w:cs="Arial"/>
        </w:rPr>
        <w:footnoteRef/>
      </w:r>
      <w:r w:rsidRPr="00917200">
        <w:rPr>
          <w:rFonts w:cs="Arial"/>
        </w:rPr>
        <w:t xml:space="preserve"> </w:t>
      </w:r>
      <w:proofErr w:type="spellStart"/>
      <w:r w:rsidRPr="00917200">
        <w:rPr>
          <w:rFonts w:cs="Arial"/>
        </w:rPr>
        <w:t>Piliscsaba</w:t>
      </w:r>
      <w:proofErr w:type="spellEnd"/>
      <w:r w:rsidRPr="00917200">
        <w:rPr>
          <w:rFonts w:cs="Arial"/>
        </w:rPr>
        <w:t xml:space="preserve">, </w:t>
      </w:r>
      <w:proofErr w:type="spellStart"/>
      <w:r w:rsidRPr="00917200">
        <w:rPr>
          <w:rFonts w:cs="Arial"/>
        </w:rPr>
        <w:t>Pilisjászfalu</w:t>
      </w:r>
      <w:proofErr w:type="spellEnd"/>
      <w:r w:rsidRPr="00917200">
        <w:rPr>
          <w:rFonts w:cs="Arial"/>
        </w:rPr>
        <w:t xml:space="preserve">, </w:t>
      </w:r>
      <w:proofErr w:type="spellStart"/>
      <w:r w:rsidRPr="00917200">
        <w:rPr>
          <w:rFonts w:cs="Arial"/>
        </w:rPr>
        <w:t>Pilisvörösvár</w:t>
      </w:r>
      <w:proofErr w:type="spellEnd"/>
      <w:r w:rsidRPr="00917200">
        <w:rPr>
          <w:rFonts w:cs="Arial"/>
        </w:rPr>
        <w:t>,</w:t>
      </w:r>
      <w:r>
        <w:rPr>
          <w:rFonts w:cs="Arial"/>
        </w:rPr>
        <w:t xml:space="preserve"> </w:t>
      </w:r>
      <w:proofErr w:type="spellStart"/>
      <w:r w:rsidRPr="00917200">
        <w:rPr>
          <w:rFonts w:cs="Arial"/>
        </w:rPr>
        <w:t>Solymár</w:t>
      </w:r>
      <w:proofErr w:type="spellEnd"/>
    </w:p>
  </w:footnote>
  <w:footnote w:id="5">
    <w:p w:rsidR="0065702E" w:rsidRPr="00917200" w:rsidRDefault="0065702E" w:rsidP="0065702E">
      <w:pPr>
        <w:pStyle w:val="FootnoteText"/>
        <w:rPr>
          <w:rFonts w:cs="Arial"/>
        </w:rPr>
      </w:pPr>
      <w:r w:rsidRPr="00917200">
        <w:rPr>
          <w:rStyle w:val="FootnoteReference"/>
          <w:rFonts w:cs="Arial"/>
        </w:rPr>
        <w:footnoteRef/>
      </w:r>
      <w:r w:rsidRPr="00917200">
        <w:rPr>
          <w:rFonts w:cs="Arial"/>
        </w:rPr>
        <w:t xml:space="preserve"> </w:t>
      </w:r>
      <w:proofErr w:type="gramStart"/>
      <w:r w:rsidRPr="00917200">
        <w:rPr>
          <w:rFonts w:cs="Arial"/>
        </w:rPr>
        <w:t>see</w:t>
      </w:r>
      <w:proofErr w:type="gramEnd"/>
      <w:r w:rsidRPr="00917200">
        <w:rPr>
          <w:rFonts w:cs="Arial"/>
        </w:rPr>
        <w:t xml:space="preserve"> Article 2 point 48 of </w:t>
      </w:r>
      <w:proofErr w:type="spellStart"/>
      <w:r w:rsidRPr="00917200">
        <w:rPr>
          <w:rFonts w:cs="Arial"/>
        </w:rPr>
        <w:t>Comission</w:t>
      </w:r>
      <w:proofErr w:type="spellEnd"/>
      <w:r w:rsidRPr="00917200">
        <w:rPr>
          <w:rFonts w:cs="Arial"/>
        </w:rPr>
        <w:t xml:space="preserve"> Regulation (EU) No 651/2014</w:t>
      </w:r>
      <w:r>
        <w:rPr>
          <w:rFonts w:cs="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849" w:rsidRDefault="006C6849" w:rsidP="0065702E">
    <w:pPr>
      <w:tabs>
        <w:tab w:val="right" w:pos="9071"/>
      </w:tabs>
      <w:spacing w:after="0"/>
      <w:jc w:val="center"/>
      <w:rPr>
        <w:i/>
        <w:noProof/>
        <w:lang w:val="hu-HU"/>
      </w:rPr>
    </w:pPr>
    <w:r w:rsidRPr="00052C87">
      <w:rPr>
        <w:noProof/>
        <w:lang w:val="en-US" w:eastAsia="en-US"/>
      </w:rPr>
      <w:drawing>
        <wp:inline distT="0" distB="0" distL="0" distR="0" wp14:anchorId="2EA06F8C" wp14:editId="5BE414D1">
          <wp:extent cx="1795145" cy="457835"/>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r_SKHU_EN.jpg"/>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795145" cy="457835"/>
                  </a:xfrm>
                  <a:prstGeom prst="rect">
                    <a:avLst/>
                  </a:prstGeom>
                </pic:spPr>
              </pic:pic>
            </a:graphicData>
          </a:graphic>
        </wp:inline>
      </w:drawing>
    </w:r>
  </w:p>
  <w:p w:rsidR="006C6849" w:rsidRDefault="00356BB5" w:rsidP="00970982">
    <w:pPr>
      <w:tabs>
        <w:tab w:val="right" w:pos="9071"/>
      </w:tabs>
      <w:spacing w:after="240"/>
      <w:rPr>
        <w:i/>
        <w:noProof/>
        <w:lang w:val="hu-HU"/>
      </w:rPr>
    </w:pPr>
    <w:r>
      <w:rPr>
        <w:i/>
        <w:noProof/>
        <w:lang w:val="hu-HU"/>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F3153"/>
    <w:multiLevelType w:val="hybridMultilevel"/>
    <w:tmpl w:val="1902D78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B3C3EBF"/>
    <w:multiLevelType w:val="hybridMultilevel"/>
    <w:tmpl w:val="E850D47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49D5BD1"/>
    <w:multiLevelType w:val="hybridMultilevel"/>
    <w:tmpl w:val="C684512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28951F4C"/>
    <w:multiLevelType w:val="hybridMultilevel"/>
    <w:tmpl w:val="9DD0C46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29817AAD"/>
    <w:multiLevelType w:val="hybridMultilevel"/>
    <w:tmpl w:val="1958B51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2DC82097"/>
    <w:multiLevelType w:val="hybridMultilevel"/>
    <w:tmpl w:val="4C888178"/>
    <w:lvl w:ilvl="0" w:tplc="ABDE104A">
      <w:numFmt w:val="bullet"/>
      <w:lvlText w:val="•"/>
      <w:lvlJc w:val="left"/>
      <w:pPr>
        <w:ind w:left="1065" w:hanging="705"/>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35000A2A"/>
    <w:multiLevelType w:val="hybridMultilevel"/>
    <w:tmpl w:val="D3666C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360923AB"/>
    <w:multiLevelType w:val="hybridMultilevel"/>
    <w:tmpl w:val="332C9D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3619195F"/>
    <w:multiLevelType w:val="hybridMultilevel"/>
    <w:tmpl w:val="00B8F7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3DC610D1"/>
    <w:multiLevelType w:val="hybridMultilevel"/>
    <w:tmpl w:val="1902D78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400F4EE3"/>
    <w:multiLevelType w:val="hybridMultilevel"/>
    <w:tmpl w:val="0966D9E4"/>
    <w:lvl w:ilvl="0" w:tplc="9738AB8C">
      <w:start w:val="1"/>
      <w:numFmt w:val="lowerLetter"/>
      <w:lvlText w:val="%1)"/>
      <w:lvlJc w:val="left"/>
      <w:pPr>
        <w:ind w:left="720" w:hanging="360"/>
      </w:pPr>
      <w:rPr>
        <w:rFonts w:asciiTheme="minorHAnsi" w:eastAsia="Times New Roman" w:hAnsiTheme="minorHAnsi" w:cs="Times New Roman"/>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48BA43F5"/>
    <w:multiLevelType w:val="hybridMultilevel"/>
    <w:tmpl w:val="00E2311A"/>
    <w:lvl w:ilvl="0" w:tplc="344480B8">
      <w:start w:val="1"/>
      <w:numFmt w:val="lowerLetter"/>
      <w:lvlText w:val="%1)"/>
      <w:lvlJc w:val="left"/>
      <w:pPr>
        <w:ind w:left="720" w:hanging="360"/>
      </w:pPr>
      <w:rPr>
        <w:rFonts w:asciiTheme="minorHAnsi" w:eastAsia="Times New Roman" w:hAnsiTheme="minorHAnsi"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4A2D5F84"/>
    <w:multiLevelType w:val="hybridMultilevel"/>
    <w:tmpl w:val="8FE489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4D9E5C26"/>
    <w:multiLevelType w:val="hybridMultilevel"/>
    <w:tmpl w:val="1FB6F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581C64ED"/>
    <w:multiLevelType w:val="hybridMultilevel"/>
    <w:tmpl w:val="9DD0C46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600C68B0"/>
    <w:multiLevelType w:val="hybridMultilevel"/>
    <w:tmpl w:val="9E06D0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62010944"/>
    <w:multiLevelType w:val="hybridMultilevel"/>
    <w:tmpl w:val="6BBEB16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6ABB54BC"/>
    <w:multiLevelType w:val="hybridMultilevel"/>
    <w:tmpl w:val="0E6A7418"/>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6F927D9B"/>
    <w:multiLevelType w:val="hybridMultilevel"/>
    <w:tmpl w:val="1FDA78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1715968"/>
    <w:multiLevelType w:val="hybridMultilevel"/>
    <w:tmpl w:val="798C707C"/>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770846A0"/>
    <w:multiLevelType w:val="multilevel"/>
    <w:tmpl w:val="38A6B446"/>
    <w:lvl w:ilvl="0">
      <w:start w:val="1"/>
      <w:numFmt w:val="decimal"/>
      <w:lvlText w:val="%1"/>
      <w:lvlJc w:val="left"/>
      <w:pPr>
        <w:ind w:left="432" w:hanging="432"/>
      </w:pPr>
      <w:rPr>
        <w:rFonts w:cs="Times New Roman" w:hint="default"/>
      </w:rPr>
    </w:lvl>
    <w:lvl w:ilvl="1">
      <w:start w:val="1"/>
      <w:numFmt w:val="decimal"/>
      <w:lvlText w:val="%1.%2"/>
      <w:lvlJc w:val="left"/>
      <w:pPr>
        <w:ind w:left="4546" w:hanging="576"/>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3.1"/>
      <w:lvlJc w:val="left"/>
      <w:pPr>
        <w:ind w:left="2988"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1">
    <w:nsid w:val="7E1F47B1"/>
    <w:multiLevelType w:val="hybridMultilevel"/>
    <w:tmpl w:val="09CAEA2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7E2D5792"/>
    <w:multiLevelType w:val="hybridMultilevel"/>
    <w:tmpl w:val="937200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19"/>
  </w:num>
  <w:num w:numId="4">
    <w:abstractNumId w:val="3"/>
  </w:num>
  <w:num w:numId="5">
    <w:abstractNumId w:val="14"/>
  </w:num>
  <w:num w:numId="6">
    <w:abstractNumId w:val="4"/>
  </w:num>
  <w:num w:numId="7">
    <w:abstractNumId w:val="5"/>
  </w:num>
  <w:num w:numId="8">
    <w:abstractNumId w:val="0"/>
  </w:num>
  <w:num w:numId="9">
    <w:abstractNumId w:val="9"/>
  </w:num>
  <w:num w:numId="10">
    <w:abstractNumId w:val="10"/>
  </w:num>
  <w:num w:numId="11">
    <w:abstractNumId w:val="16"/>
  </w:num>
  <w:num w:numId="12">
    <w:abstractNumId w:val="17"/>
  </w:num>
  <w:num w:numId="13">
    <w:abstractNumId w:val="2"/>
  </w:num>
  <w:num w:numId="14">
    <w:abstractNumId w:val="18"/>
  </w:num>
  <w:num w:numId="15">
    <w:abstractNumId w:val="13"/>
  </w:num>
  <w:num w:numId="16">
    <w:abstractNumId w:val="7"/>
  </w:num>
  <w:num w:numId="17">
    <w:abstractNumId w:val="11"/>
  </w:num>
  <w:num w:numId="18">
    <w:abstractNumId w:val="21"/>
  </w:num>
  <w:num w:numId="19">
    <w:abstractNumId w:val="12"/>
  </w:num>
  <w:num w:numId="20">
    <w:abstractNumId w:val="6"/>
  </w:num>
  <w:num w:numId="21">
    <w:abstractNumId w:val="15"/>
  </w:num>
  <w:num w:numId="22">
    <w:abstractNumId w:val="8"/>
  </w:num>
  <w:num w:numId="23">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09"/>
  <w:hyphenationZone w:val="425"/>
  <w:characterSpacingControl w:val="doNotCompress"/>
  <w:hdrShapeDefaults>
    <o:shapedefaults v:ext="edit" spidmax="10242"/>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560"/>
    <w:rsid w:val="00000C9F"/>
    <w:rsid w:val="00001189"/>
    <w:rsid w:val="00001F7D"/>
    <w:rsid w:val="00003C1A"/>
    <w:rsid w:val="00003C37"/>
    <w:rsid w:val="000044B2"/>
    <w:rsid w:val="00005238"/>
    <w:rsid w:val="0000715D"/>
    <w:rsid w:val="00007F64"/>
    <w:rsid w:val="00012FBD"/>
    <w:rsid w:val="000137E8"/>
    <w:rsid w:val="0001414A"/>
    <w:rsid w:val="0001446C"/>
    <w:rsid w:val="00014492"/>
    <w:rsid w:val="000165C5"/>
    <w:rsid w:val="00016C54"/>
    <w:rsid w:val="00016F3F"/>
    <w:rsid w:val="00017D6C"/>
    <w:rsid w:val="00020BF4"/>
    <w:rsid w:val="00021E47"/>
    <w:rsid w:val="00021EF8"/>
    <w:rsid w:val="000234BC"/>
    <w:rsid w:val="0002371C"/>
    <w:rsid w:val="00023CA2"/>
    <w:rsid w:val="00024A85"/>
    <w:rsid w:val="000252E4"/>
    <w:rsid w:val="00025746"/>
    <w:rsid w:val="00026315"/>
    <w:rsid w:val="00026A66"/>
    <w:rsid w:val="00026D02"/>
    <w:rsid w:val="00027CE5"/>
    <w:rsid w:val="00027EB7"/>
    <w:rsid w:val="00030194"/>
    <w:rsid w:val="000310F7"/>
    <w:rsid w:val="000315CF"/>
    <w:rsid w:val="00031C8D"/>
    <w:rsid w:val="00032A07"/>
    <w:rsid w:val="00034048"/>
    <w:rsid w:val="00034377"/>
    <w:rsid w:val="000345F5"/>
    <w:rsid w:val="0003471B"/>
    <w:rsid w:val="00034CC4"/>
    <w:rsid w:val="000358E2"/>
    <w:rsid w:val="00036099"/>
    <w:rsid w:val="00036F72"/>
    <w:rsid w:val="00036FB3"/>
    <w:rsid w:val="000371BC"/>
    <w:rsid w:val="0003781B"/>
    <w:rsid w:val="00037D2C"/>
    <w:rsid w:val="00040650"/>
    <w:rsid w:val="00041016"/>
    <w:rsid w:val="00041A14"/>
    <w:rsid w:val="00042E53"/>
    <w:rsid w:val="00044855"/>
    <w:rsid w:val="000449B2"/>
    <w:rsid w:val="00045D77"/>
    <w:rsid w:val="0004610B"/>
    <w:rsid w:val="000467C6"/>
    <w:rsid w:val="000467E1"/>
    <w:rsid w:val="00050779"/>
    <w:rsid w:val="00051C22"/>
    <w:rsid w:val="00052CAC"/>
    <w:rsid w:val="0005414E"/>
    <w:rsid w:val="00054158"/>
    <w:rsid w:val="0005419E"/>
    <w:rsid w:val="00054567"/>
    <w:rsid w:val="00054F58"/>
    <w:rsid w:val="000559C0"/>
    <w:rsid w:val="00055D29"/>
    <w:rsid w:val="00056E02"/>
    <w:rsid w:val="000573B3"/>
    <w:rsid w:val="00062346"/>
    <w:rsid w:val="000629B8"/>
    <w:rsid w:val="00062D90"/>
    <w:rsid w:val="00062E6D"/>
    <w:rsid w:val="000631B8"/>
    <w:rsid w:val="0006484D"/>
    <w:rsid w:val="00064ABE"/>
    <w:rsid w:val="000660F7"/>
    <w:rsid w:val="00066175"/>
    <w:rsid w:val="000728BC"/>
    <w:rsid w:val="000731CC"/>
    <w:rsid w:val="000732C9"/>
    <w:rsid w:val="00074B4E"/>
    <w:rsid w:val="00075E1D"/>
    <w:rsid w:val="00076303"/>
    <w:rsid w:val="00076E76"/>
    <w:rsid w:val="00076E89"/>
    <w:rsid w:val="00077216"/>
    <w:rsid w:val="00077442"/>
    <w:rsid w:val="00081845"/>
    <w:rsid w:val="00081C26"/>
    <w:rsid w:val="00082405"/>
    <w:rsid w:val="00083028"/>
    <w:rsid w:val="00083C96"/>
    <w:rsid w:val="000848CA"/>
    <w:rsid w:val="00084D40"/>
    <w:rsid w:val="00085061"/>
    <w:rsid w:val="000857C8"/>
    <w:rsid w:val="000860CF"/>
    <w:rsid w:val="00086664"/>
    <w:rsid w:val="00087105"/>
    <w:rsid w:val="00091F3D"/>
    <w:rsid w:val="0009475E"/>
    <w:rsid w:val="00095203"/>
    <w:rsid w:val="000953B4"/>
    <w:rsid w:val="00096507"/>
    <w:rsid w:val="000965F1"/>
    <w:rsid w:val="000966CD"/>
    <w:rsid w:val="0009703F"/>
    <w:rsid w:val="00097F88"/>
    <w:rsid w:val="000A10E8"/>
    <w:rsid w:val="000A1898"/>
    <w:rsid w:val="000A2E54"/>
    <w:rsid w:val="000A30BC"/>
    <w:rsid w:val="000A40FF"/>
    <w:rsid w:val="000A4208"/>
    <w:rsid w:val="000A4431"/>
    <w:rsid w:val="000A4CCF"/>
    <w:rsid w:val="000A7E8B"/>
    <w:rsid w:val="000B04A7"/>
    <w:rsid w:val="000B04B0"/>
    <w:rsid w:val="000B077C"/>
    <w:rsid w:val="000B1DBC"/>
    <w:rsid w:val="000B2AB7"/>
    <w:rsid w:val="000B402F"/>
    <w:rsid w:val="000B63FD"/>
    <w:rsid w:val="000B66E8"/>
    <w:rsid w:val="000B6C98"/>
    <w:rsid w:val="000B787D"/>
    <w:rsid w:val="000B7B83"/>
    <w:rsid w:val="000B7C39"/>
    <w:rsid w:val="000C1843"/>
    <w:rsid w:val="000C1CD2"/>
    <w:rsid w:val="000C2C13"/>
    <w:rsid w:val="000C3A14"/>
    <w:rsid w:val="000C3F62"/>
    <w:rsid w:val="000C4B93"/>
    <w:rsid w:val="000C5186"/>
    <w:rsid w:val="000C566E"/>
    <w:rsid w:val="000C6B6B"/>
    <w:rsid w:val="000D0A90"/>
    <w:rsid w:val="000D1B8D"/>
    <w:rsid w:val="000D1EE7"/>
    <w:rsid w:val="000D1FFB"/>
    <w:rsid w:val="000D254F"/>
    <w:rsid w:val="000D31BB"/>
    <w:rsid w:val="000D3B34"/>
    <w:rsid w:val="000D3B4C"/>
    <w:rsid w:val="000D405D"/>
    <w:rsid w:val="000D4493"/>
    <w:rsid w:val="000D4516"/>
    <w:rsid w:val="000D4576"/>
    <w:rsid w:val="000D4B5D"/>
    <w:rsid w:val="000D4C7C"/>
    <w:rsid w:val="000D4CE0"/>
    <w:rsid w:val="000E0F74"/>
    <w:rsid w:val="000E1158"/>
    <w:rsid w:val="000E23DA"/>
    <w:rsid w:val="000E251C"/>
    <w:rsid w:val="000E3859"/>
    <w:rsid w:val="000E39D1"/>
    <w:rsid w:val="000E3F6B"/>
    <w:rsid w:val="000E40E9"/>
    <w:rsid w:val="000E456D"/>
    <w:rsid w:val="000E4B38"/>
    <w:rsid w:val="000E6DA0"/>
    <w:rsid w:val="000E7A39"/>
    <w:rsid w:val="000E7C29"/>
    <w:rsid w:val="000F178B"/>
    <w:rsid w:val="000F17D9"/>
    <w:rsid w:val="000F397A"/>
    <w:rsid w:val="000F488C"/>
    <w:rsid w:val="000F48E3"/>
    <w:rsid w:val="000F6570"/>
    <w:rsid w:val="000F6832"/>
    <w:rsid w:val="000F6E04"/>
    <w:rsid w:val="000F7D3E"/>
    <w:rsid w:val="0010030C"/>
    <w:rsid w:val="0010048D"/>
    <w:rsid w:val="00100881"/>
    <w:rsid w:val="00101DB9"/>
    <w:rsid w:val="00102906"/>
    <w:rsid w:val="00102954"/>
    <w:rsid w:val="00103C30"/>
    <w:rsid w:val="00103F19"/>
    <w:rsid w:val="00104563"/>
    <w:rsid w:val="00104695"/>
    <w:rsid w:val="001073D0"/>
    <w:rsid w:val="00107FEE"/>
    <w:rsid w:val="0011055D"/>
    <w:rsid w:val="0011262B"/>
    <w:rsid w:val="0011385F"/>
    <w:rsid w:val="00113A17"/>
    <w:rsid w:val="00113CFF"/>
    <w:rsid w:val="0011586F"/>
    <w:rsid w:val="001173EB"/>
    <w:rsid w:val="00117678"/>
    <w:rsid w:val="0011779B"/>
    <w:rsid w:val="001177C4"/>
    <w:rsid w:val="00117980"/>
    <w:rsid w:val="00117FE5"/>
    <w:rsid w:val="00120A81"/>
    <w:rsid w:val="001234F9"/>
    <w:rsid w:val="00125321"/>
    <w:rsid w:val="001257EC"/>
    <w:rsid w:val="00126E7E"/>
    <w:rsid w:val="0012755D"/>
    <w:rsid w:val="00127A90"/>
    <w:rsid w:val="001318A5"/>
    <w:rsid w:val="00131CF7"/>
    <w:rsid w:val="00132D6A"/>
    <w:rsid w:val="001330D9"/>
    <w:rsid w:val="00134BA6"/>
    <w:rsid w:val="00134D67"/>
    <w:rsid w:val="00135CEB"/>
    <w:rsid w:val="00136792"/>
    <w:rsid w:val="00136E68"/>
    <w:rsid w:val="00140647"/>
    <w:rsid w:val="00140A51"/>
    <w:rsid w:val="00142875"/>
    <w:rsid w:val="00143B54"/>
    <w:rsid w:val="00144738"/>
    <w:rsid w:val="00145122"/>
    <w:rsid w:val="00145F4E"/>
    <w:rsid w:val="00146DB2"/>
    <w:rsid w:val="0014750C"/>
    <w:rsid w:val="00150560"/>
    <w:rsid w:val="00150FF1"/>
    <w:rsid w:val="001511AC"/>
    <w:rsid w:val="00151F2B"/>
    <w:rsid w:val="00152815"/>
    <w:rsid w:val="001530B0"/>
    <w:rsid w:val="00153171"/>
    <w:rsid w:val="001540AF"/>
    <w:rsid w:val="00154683"/>
    <w:rsid w:val="00155747"/>
    <w:rsid w:val="00156295"/>
    <w:rsid w:val="00157040"/>
    <w:rsid w:val="001573BF"/>
    <w:rsid w:val="00161773"/>
    <w:rsid w:val="00162314"/>
    <w:rsid w:val="0016255F"/>
    <w:rsid w:val="001640EA"/>
    <w:rsid w:val="00164F40"/>
    <w:rsid w:val="00165F30"/>
    <w:rsid w:val="00165F4C"/>
    <w:rsid w:val="001668DC"/>
    <w:rsid w:val="00166B47"/>
    <w:rsid w:val="00167056"/>
    <w:rsid w:val="001701C6"/>
    <w:rsid w:val="0017041E"/>
    <w:rsid w:val="0017055B"/>
    <w:rsid w:val="0017190D"/>
    <w:rsid w:val="00171B18"/>
    <w:rsid w:val="00171F9C"/>
    <w:rsid w:val="00172AC0"/>
    <w:rsid w:val="0017314E"/>
    <w:rsid w:val="0017495B"/>
    <w:rsid w:val="00174B54"/>
    <w:rsid w:val="00175B0C"/>
    <w:rsid w:val="0017611E"/>
    <w:rsid w:val="00176D2D"/>
    <w:rsid w:val="001776F0"/>
    <w:rsid w:val="00177726"/>
    <w:rsid w:val="00181163"/>
    <w:rsid w:val="00181EA7"/>
    <w:rsid w:val="001830CE"/>
    <w:rsid w:val="001833D3"/>
    <w:rsid w:val="00183674"/>
    <w:rsid w:val="00183E60"/>
    <w:rsid w:val="00184080"/>
    <w:rsid w:val="00184468"/>
    <w:rsid w:val="0018498E"/>
    <w:rsid w:val="00185494"/>
    <w:rsid w:val="00186E9B"/>
    <w:rsid w:val="001870B1"/>
    <w:rsid w:val="00190208"/>
    <w:rsid w:val="00190683"/>
    <w:rsid w:val="00191533"/>
    <w:rsid w:val="00193007"/>
    <w:rsid w:val="00193558"/>
    <w:rsid w:val="00193713"/>
    <w:rsid w:val="00193B78"/>
    <w:rsid w:val="00193F41"/>
    <w:rsid w:val="00194653"/>
    <w:rsid w:val="00194BC0"/>
    <w:rsid w:val="0019529D"/>
    <w:rsid w:val="0019629D"/>
    <w:rsid w:val="00197D0F"/>
    <w:rsid w:val="001A0576"/>
    <w:rsid w:val="001A1112"/>
    <w:rsid w:val="001A1BE5"/>
    <w:rsid w:val="001A2BC7"/>
    <w:rsid w:val="001A2C6F"/>
    <w:rsid w:val="001A3472"/>
    <w:rsid w:val="001A3C77"/>
    <w:rsid w:val="001A67AF"/>
    <w:rsid w:val="001A68F1"/>
    <w:rsid w:val="001A6C2A"/>
    <w:rsid w:val="001B1023"/>
    <w:rsid w:val="001B110E"/>
    <w:rsid w:val="001B2AD8"/>
    <w:rsid w:val="001B45BF"/>
    <w:rsid w:val="001B564E"/>
    <w:rsid w:val="001B63DC"/>
    <w:rsid w:val="001B78D9"/>
    <w:rsid w:val="001C1A54"/>
    <w:rsid w:val="001C3B7E"/>
    <w:rsid w:val="001C4659"/>
    <w:rsid w:val="001C5F9E"/>
    <w:rsid w:val="001C6194"/>
    <w:rsid w:val="001C7499"/>
    <w:rsid w:val="001C75DF"/>
    <w:rsid w:val="001C76A8"/>
    <w:rsid w:val="001D04CD"/>
    <w:rsid w:val="001D16F8"/>
    <w:rsid w:val="001D199B"/>
    <w:rsid w:val="001D19F3"/>
    <w:rsid w:val="001D27D8"/>
    <w:rsid w:val="001D3668"/>
    <w:rsid w:val="001D3AF5"/>
    <w:rsid w:val="001D4B1F"/>
    <w:rsid w:val="001D4B3D"/>
    <w:rsid w:val="001D50BF"/>
    <w:rsid w:val="001D59A0"/>
    <w:rsid w:val="001D613A"/>
    <w:rsid w:val="001E02F4"/>
    <w:rsid w:val="001E05CF"/>
    <w:rsid w:val="001E09BD"/>
    <w:rsid w:val="001E1472"/>
    <w:rsid w:val="001E2AC0"/>
    <w:rsid w:val="001E301D"/>
    <w:rsid w:val="001E314B"/>
    <w:rsid w:val="001E3BC0"/>
    <w:rsid w:val="001E460F"/>
    <w:rsid w:val="001E49C9"/>
    <w:rsid w:val="001F0DF7"/>
    <w:rsid w:val="001F128E"/>
    <w:rsid w:val="001F1483"/>
    <w:rsid w:val="001F32C7"/>
    <w:rsid w:val="001F3A33"/>
    <w:rsid w:val="001F63AF"/>
    <w:rsid w:val="001F66A0"/>
    <w:rsid w:val="001F6B4C"/>
    <w:rsid w:val="001F730D"/>
    <w:rsid w:val="0020088B"/>
    <w:rsid w:val="00200FE2"/>
    <w:rsid w:val="002011E1"/>
    <w:rsid w:val="0020130A"/>
    <w:rsid w:val="00203CB1"/>
    <w:rsid w:val="0020465F"/>
    <w:rsid w:val="002050F3"/>
    <w:rsid w:val="00205BD1"/>
    <w:rsid w:val="00205E48"/>
    <w:rsid w:val="002068D2"/>
    <w:rsid w:val="002069CD"/>
    <w:rsid w:val="00206D21"/>
    <w:rsid w:val="00206E9E"/>
    <w:rsid w:val="00206EF0"/>
    <w:rsid w:val="00206F21"/>
    <w:rsid w:val="002076F8"/>
    <w:rsid w:val="0021044D"/>
    <w:rsid w:val="00210955"/>
    <w:rsid w:val="00210A0F"/>
    <w:rsid w:val="00210AEA"/>
    <w:rsid w:val="00210C88"/>
    <w:rsid w:val="0021143D"/>
    <w:rsid w:val="002129BD"/>
    <w:rsid w:val="00212FDE"/>
    <w:rsid w:val="00213F5D"/>
    <w:rsid w:val="00214C1C"/>
    <w:rsid w:val="00216BFC"/>
    <w:rsid w:val="00220036"/>
    <w:rsid w:val="00220E99"/>
    <w:rsid w:val="00220EC8"/>
    <w:rsid w:val="00221096"/>
    <w:rsid w:val="00221533"/>
    <w:rsid w:val="00222204"/>
    <w:rsid w:val="00222370"/>
    <w:rsid w:val="0022287C"/>
    <w:rsid w:val="00222E7F"/>
    <w:rsid w:val="00223741"/>
    <w:rsid w:val="00223D54"/>
    <w:rsid w:val="00224B7C"/>
    <w:rsid w:val="00225B6B"/>
    <w:rsid w:val="00227E27"/>
    <w:rsid w:val="00230982"/>
    <w:rsid w:val="00231110"/>
    <w:rsid w:val="00231187"/>
    <w:rsid w:val="00231321"/>
    <w:rsid w:val="002320D0"/>
    <w:rsid w:val="00232FD4"/>
    <w:rsid w:val="00233856"/>
    <w:rsid w:val="0023449C"/>
    <w:rsid w:val="00235050"/>
    <w:rsid w:val="0023529E"/>
    <w:rsid w:val="002359C6"/>
    <w:rsid w:val="00235D95"/>
    <w:rsid w:val="00236708"/>
    <w:rsid w:val="00236D0E"/>
    <w:rsid w:val="00236F48"/>
    <w:rsid w:val="00237C74"/>
    <w:rsid w:val="002404BE"/>
    <w:rsid w:val="00241347"/>
    <w:rsid w:val="002423DF"/>
    <w:rsid w:val="00242606"/>
    <w:rsid w:val="002438A7"/>
    <w:rsid w:val="00243BBA"/>
    <w:rsid w:val="002452FD"/>
    <w:rsid w:val="00245C63"/>
    <w:rsid w:val="00246649"/>
    <w:rsid w:val="00247A14"/>
    <w:rsid w:val="00247D21"/>
    <w:rsid w:val="0025083D"/>
    <w:rsid w:val="00250A11"/>
    <w:rsid w:val="002513FF"/>
    <w:rsid w:val="00253092"/>
    <w:rsid w:val="00254B0E"/>
    <w:rsid w:val="00255108"/>
    <w:rsid w:val="0025555E"/>
    <w:rsid w:val="00256303"/>
    <w:rsid w:val="002578B1"/>
    <w:rsid w:val="00257942"/>
    <w:rsid w:val="00257A56"/>
    <w:rsid w:val="00257DCE"/>
    <w:rsid w:val="00260E9A"/>
    <w:rsid w:val="00260F20"/>
    <w:rsid w:val="0026107E"/>
    <w:rsid w:val="00261D51"/>
    <w:rsid w:val="00262487"/>
    <w:rsid w:val="00262610"/>
    <w:rsid w:val="002630F2"/>
    <w:rsid w:val="002643AB"/>
    <w:rsid w:val="0026535B"/>
    <w:rsid w:val="00265511"/>
    <w:rsid w:val="0026758A"/>
    <w:rsid w:val="00267DFB"/>
    <w:rsid w:val="00270119"/>
    <w:rsid w:val="00271D63"/>
    <w:rsid w:val="00272314"/>
    <w:rsid w:val="002731CD"/>
    <w:rsid w:val="00274489"/>
    <w:rsid w:val="00275206"/>
    <w:rsid w:val="00275E43"/>
    <w:rsid w:val="002769DB"/>
    <w:rsid w:val="0027759C"/>
    <w:rsid w:val="00277752"/>
    <w:rsid w:val="00277E99"/>
    <w:rsid w:val="002811D6"/>
    <w:rsid w:val="00281E3D"/>
    <w:rsid w:val="0028231C"/>
    <w:rsid w:val="00283A81"/>
    <w:rsid w:val="0028578A"/>
    <w:rsid w:val="002858C0"/>
    <w:rsid w:val="00285E0F"/>
    <w:rsid w:val="002867FA"/>
    <w:rsid w:val="00287473"/>
    <w:rsid w:val="00287AD6"/>
    <w:rsid w:val="0029075B"/>
    <w:rsid w:val="00290C26"/>
    <w:rsid w:val="00291267"/>
    <w:rsid w:val="0029361D"/>
    <w:rsid w:val="00293B06"/>
    <w:rsid w:val="00293FA6"/>
    <w:rsid w:val="002942AC"/>
    <w:rsid w:val="00294483"/>
    <w:rsid w:val="00295A44"/>
    <w:rsid w:val="00295ACC"/>
    <w:rsid w:val="0029655E"/>
    <w:rsid w:val="002A1DFA"/>
    <w:rsid w:val="002A1F89"/>
    <w:rsid w:val="002A271B"/>
    <w:rsid w:val="002A2B89"/>
    <w:rsid w:val="002A3400"/>
    <w:rsid w:val="002A38C3"/>
    <w:rsid w:val="002A4740"/>
    <w:rsid w:val="002A4BF4"/>
    <w:rsid w:val="002A6400"/>
    <w:rsid w:val="002A6ED6"/>
    <w:rsid w:val="002A73A9"/>
    <w:rsid w:val="002B0E40"/>
    <w:rsid w:val="002B1302"/>
    <w:rsid w:val="002B1626"/>
    <w:rsid w:val="002B19EF"/>
    <w:rsid w:val="002B232C"/>
    <w:rsid w:val="002B23DC"/>
    <w:rsid w:val="002B2790"/>
    <w:rsid w:val="002B286D"/>
    <w:rsid w:val="002B3D4B"/>
    <w:rsid w:val="002B4A53"/>
    <w:rsid w:val="002B56BB"/>
    <w:rsid w:val="002B7A68"/>
    <w:rsid w:val="002C03DC"/>
    <w:rsid w:val="002C1276"/>
    <w:rsid w:val="002C1D1F"/>
    <w:rsid w:val="002C3779"/>
    <w:rsid w:val="002C3900"/>
    <w:rsid w:val="002C3FEA"/>
    <w:rsid w:val="002C4136"/>
    <w:rsid w:val="002C4540"/>
    <w:rsid w:val="002C47AE"/>
    <w:rsid w:val="002C49DF"/>
    <w:rsid w:val="002C4AD7"/>
    <w:rsid w:val="002C4C97"/>
    <w:rsid w:val="002C54E5"/>
    <w:rsid w:val="002C5AE8"/>
    <w:rsid w:val="002C5E63"/>
    <w:rsid w:val="002C5F06"/>
    <w:rsid w:val="002C63E1"/>
    <w:rsid w:val="002C6523"/>
    <w:rsid w:val="002C6F6B"/>
    <w:rsid w:val="002C73A4"/>
    <w:rsid w:val="002C7843"/>
    <w:rsid w:val="002D15C0"/>
    <w:rsid w:val="002D18BF"/>
    <w:rsid w:val="002D1976"/>
    <w:rsid w:val="002D5B1A"/>
    <w:rsid w:val="002D74E7"/>
    <w:rsid w:val="002D7FC6"/>
    <w:rsid w:val="002E15D8"/>
    <w:rsid w:val="002E198D"/>
    <w:rsid w:val="002E1B90"/>
    <w:rsid w:val="002E2520"/>
    <w:rsid w:val="002E2AB4"/>
    <w:rsid w:val="002E2F25"/>
    <w:rsid w:val="002E3165"/>
    <w:rsid w:val="002E37E2"/>
    <w:rsid w:val="002E5833"/>
    <w:rsid w:val="002E610D"/>
    <w:rsid w:val="002E718F"/>
    <w:rsid w:val="002E7926"/>
    <w:rsid w:val="002F05C5"/>
    <w:rsid w:val="002F0E92"/>
    <w:rsid w:val="002F1177"/>
    <w:rsid w:val="002F1EE7"/>
    <w:rsid w:val="002F3229"/>
    <w:rsid w:val="002F3CB1"/>
    <w:rsid w:val="002F54F9"/>
    <w:rsid w:val="002F5643"/>
    <w:rsid w:val="002F581B"/>
    <w:rsid w:val="002F5C6F"/>
    <w:rsid w:val="002F6523"/>
    <w:rsid w:val="002F6730"/>
    <w:rsid w:val="002F6814"/>
    <w:rsid w:val="002F6CCA"/>
    <w:rsid w:val="002F7B8F"/>
    <w:rsid w:val="002F7CAE"/>
    <w:rsid w:val="00301124"/>
    <w:rsid w:val="00304800"/>
    <w:rsid w:val="0030505E"/>
    <w:rsid w:val="003063B6"/>
    <w:rsid w:val="0030689E"/>
    <w:rsid w:val="003104C1"/>
    <w:rsid w:val="003115A2"/>
    <w:rsid w:val="00312F37"/>
    <w:rsid w:val="003132D2"/>
    <w:rsid w:val="00313D4F"/>
    <w:rsid w:val="00314215"/>
    <w:rsid w:val="003145C8"/>
    <w:rsid w:val="00314F37"/>
    <w:rsid w:val="003158A9"/>
    <w:rsid w:val="0032031D"/>
    <w:rsid w:val="00320B9E"/>
    <w:rsid w:val="003215F1"/>
    <w:rsid w:val="003217EE"/>
    <w:rsid w:val="00323E71"/>
    <w:rsid w:val="0032484E"/>
    <w:rsid w:val="00324CD8"/>
    <w:rsid w:val="00325854"/>
    <w:rsid w:val="00327D8A"/>
    <w:rsid w:val="00327DD4"/>
    <w:rsid w:val="0033014B"/>
    <w:rsid w:val="00330919"/>
    <w:rsid w:val="0033200E"/>
    <w:rsid w:val="00332ACE"/>
    <w:rsid w:val="00333362"/>
    <w:rsid w:val="00334E54"/>
    <w:rsid w:val="00335377"/>
    <w:rsid w:val="00335F00"/>
    <w:rsid w:val="00336C12"/>
    <w:rsid w:val="00336F10"/>
    <w:rsid w:val="00337876"/>
    <w:rsid w:val="00342074"/>
    <w:rsid w:val="00345E23"/>
    <w:rsid w:val="003465FA"/>
    <w:rsid w:val="0034721F"/>
    <w:rsid w:val="00347966"/>
    <w:rsid w:val="00347E61"/>
    <w:rsid w:val="00350BC2"/>
    <w:rsid w:val="00350EF2"/>
    <w:rsid w:val="00351058"/>
    <w:rsid w:val="003517D2"/>
    <w:rsid w:val="0035189A"/>
    <w:rsid w:val="003519B2"/>
    <w:rsid w:val="0035242C"/>
    <w:rsid w:val="00352659"/>
    <w:rsid w:val="00352C66"/>
    <w:rsid w:val="0035315C"/>
    <w:rsid w:val="00353455"/>
    <w:rsid w:val="00354044"/>
    <w:rsid w:val="003543DC"/>
    <w:rsid w:val="00356352"/>
    <w:rsid w:val="00356BB5"/>
    <w:rsid w:val="00356DF1"/>
    <w:rsid w:val="003571AD"/>
    <w:rsid w:val="00360ECC"/>
    <w:rsid w:val="00361814"/>
    <w:rsid w:val="00364B76"/>
    <w:rsid w:val="003651C0"/>
    <w:rsid w:val="00365453"/>
    <w:rsid w:val="003657F2"/>
    <w:rsid w:val="00365823"/>
    <w:rsid w:val="00367099"/>
    <w:rsid w:val="00367159"/>
    <w:rsid w:val="003675A0"/>
    <w:rsid w:val="003700BF"/>
    <w:rsid w:val="003708C6"/>
    <w:rsid w:val="003713B1"/>
    <w:rsid w:val="00371A29"/>
    <w:rsid w:val="00374074"/>
    <w:rsid w:val="003741B9"/>
    <w:rsid w:val="00374D40"/>
    <w:rsid w:val="00375494"/>
    <w:rsid w:val="00376A6D"/>
    <w:rsid w:val="003773A2"/>
    <w:rsid w:val="00380380"/>
    <w:rsid w:val="003810FD"/>
    <w:rsid w:val="00381716"/>
    <w:rsid w:val="00381A3A"/>
    <w:rsid w:val="003825F3"/>
    <w:rsid w:val="003829DF"/>
    <w:rsid w:val="00383248"/>
    <w:rsid w:val="00383DA3"/>
    <w:rsid w:val="003842F5"/>
    <w:rsid w:val="003856FE"/>
    <w:rsid w:val="0038577E"/>
    <w:rsid w:val="003860D4"/>
    <w:rsid w:val="0038661D"/>
    <w:rsid w:val="00387C3F"/>
    <w:rsid w:val="003910F4"/>
    <w:rsid w:val="0039256C"/>
    <w:rsid w:val="00392726"/>
    <w:rsid w:val="003946A7"/>
    <w:rsid w:val="00394974"/>
    <w:rsid w:val="00395FFC"/>
    <w:rsid w:val="00396A52"/>
    <w:rsid w:val="00396B44"/>
    <w:rsid w:val="0039713A"/>
    <w:rsid w:val="003A079B"/>
    <w:rsid w:val="003A1813"/>
    <w:rsid w:val="003A19EC"/>
    <w:rsid w:val="003A1D8D"/>
    <w:rsid w:val="003A4859"/>
    <w:rsid w:val="003A4F6F"/>
    <w:rsid w:val="003A52F7"/>
    <w:rsid w:val="003A58C1"/>
    <w:rsid w:val="003A65B2"/>
    <w:rsid w:val="003A77D6"/>
    <w:rsid w:val="003B06B5"/>
    <w:rsid w:val="003B1199"/>
    <w:rsid w:val="003B1EDE"/>
    <w:rsid w:val="003B2082"/>
    <w:rsid w:val="003B2E3D"/>
    <w:rsid w:val="003B3EF9"/>
    <w:rsid w:val="003B4B4C"/>
    <w:rsid w:val="003B5767"/>
    <w:rsid w:val="003B5ADB"/>
    <w:rsid w:val="003B605E"/>
    <w:rsid w:val="003B63DA"/>
    <w:rsid w:val="003B692D"/>
    <w:rsid w:val="003B741A"/>
    <w:rsid w:val="003B787C"/>
    <w:rsid w:val="003B7F85"/>
    <w:rsid w:val="003C27B8"/>
    <w:rsid w:val="003C27D4"/>
    <w:rsid w:val="003C280C"/>
    <w:rsid w:val="003C2A92"/>
    <w:rsid w:val="003C3DC8"/>
    <w:rsid w:val="003C417D"/>
    <w:rsid w:val="003C48B5"/>
    <w:rsid w:val="003C4FAD"/>
    <w:rsid w:val="003C5718"/>
    <w:rsid w:val="003C5983"/>
    <w:rsid w:val="003C6279"/>
    <w:rsid w:val="003C72AD"/>
    <w:rsid w:val="003C77AD"/>
    <w:rsid w:val="003C7AEA"/>
    <w:rsid w:val="003D006F"/>
    <w:rsid w:val="003D0A61"/>
    <w:rsid w:val="003D1341"/>
    <w:rsid w:val="003D2578"/>
    <w:rsid w:val="003D2BD5"/>
    <w:rsid w:val="003D2D67"/>
    <w:rsid w:val="003D4519"/>
    <w:rsid w:val="003D5A55"/>
    <w:rsid w:val="003D7793"/>
    <w:rsid w:val="003E087E"/>
    <w:rsid w:val="003E1398"/>
    <w:rsid w:val="003E1CAE"/>
    <w:rsid w:val="003E22E2"/>
    <w:rsid w:val="003E2464"/>
    <w:rsid w:val="003E313F"/>
    <w:rsid w:val="003E3363"/>
    <w:rsid w:val="003E37FC"/>
    <w:rsid w:val="003E4A11"/>
    <w:rsid w:val="003E6411"/>
    <w:rsid w:val="003E7E39"/>
    <w:rsid w:val="003F0FEC"/>
    <w:rsid w:val="003F3408"/>
    <w:rsid w:val="003F3B91"/>
    <w:rsid w:val="003F5A70"/>
    <w:rsid w:val="003F6AFD"/>
    <w:rsid w:val="003F6EDA"/>
    <w:rsid w:val="003F77AA"/>
    <w:rsid w:val="00400658"/>
    <w:rsid w:val="00402B3D"/>
    <w:rsid w:val="00402D81"/>
    <w:rsid w:val="00406196"/>
    <w:rsid w:val="00407A58"/>
    <w:rsid w:val="004118C2"/>
    <w:rsid w:val="00411B04"/>
    <w:rsid w:val="00411E76"/>
    <w:rsid w:val="00412282"/>
    <w:rsid w:val="00412286"/>
    <w:rsid w:val="004122FF"/>
    <w:rsid w:val="004128FA"/>
    <w:rsid w:val="004136E3"/>
    <w:rsid w:val="0041437E"/>
    <w:rsid w:val="00414902"/>
    <w:rsid w:val="00414D63"/>
    <w:rsid w:val="004152E8"/>
    <w:rsid w:val="00415529"/>
    <w:rsid w:val="00416242"/>
    <w:rsid w:val="004170A8"/>
    <w:rsid w:val="00417645"/>
    <w:rsid w:val="00422689"/>
    <w:rsid w:val="004229AC"/>
    <w:rsid w:val="004239B8"/>
    <w:rsid w:val="004248F7"/>
    <w:rsid w:val="0042558E"/>
    <w:rsid w:val="00425E52"/>
    <w:rsid w:val="00426946"/>
    <w:rsid w:val="00426AEA"/>
    <w:rsid w:val="00430369"/>
    <w:rsid w:val="0043105A"/>
    <w:rsid w:val="00431FEB"/>
    <w:rsid w:val="004320A9"/>
    <w:rsid w:val="00432490"/>
    <w:rsid w:val="0043261E"/>
    <w:rsid w:val="00432F97"/>
    <w:rsid w:val="00433357"/>
    <w:rsid w:val="00434400"/>
    <w:rsid w:val="00434FB8"/>
    <w:rsid w:val="004352FD"/>
    <w:rsid w:val="00435448"/>
    <w:rsid w:val="004362A2"/>
    <w:rsid w:val="0043639B"/>
    <w:rsid w:val="00440864"/>
    <w:rsid w:val="0044089D"/>
    <w:rsid w:val="0044128F"/>
    <w:rsid w:val="00441308"/>
    <w:rsid w:val="004421FE"/>
    <w:rsid w:val="0044256B"/>
    <w:rsid w:val="004426F6"/>
    <w:rsid w:val="004428A4"/>
    <w:rsid w:val="00443109"/>
    <w:rsid w:val="00443251"/>
    <w:rsid w:val="00443CA2"/>
    <w:rsid w:val="00444C18"/>
    <w:rsid w:val="00445B33"/>
    <w:rsid w:val="00446977"/>
    <w:rsid w:val="004475B4"/>
    <w:rsid w:val="00447EF7"/>
    <w:rsid w:val="00450163"/>
    <w:rsid w:val="00450666"/>
    <w:rsid w:val="004512A1"/>
    <w:rsid w:val="0045237F"/>
    <w:rsid w:val="00452883"/>
    <w:rsid w:val="00452D0C"/>
    <w:rsid w:val="0045353E"/>
    <w:rsid w:val="004548A5"/>
    <w:rsid w:val="00456C68"/>
    <w:rsid w:val="00456DC2"/>
    <w:rsid w:val="00461853"/>
    <w:rsid w:val="00461A39"/>
    <w:rsid w:val="0046203F"/>
    <w:rsid w:val="00462325"/>
    <w:rsid w:val="0046273A"/>
    <w:rsid w:val="00462AD5"/>
    <w:rsid w:val="00462DB7"/>
    <w:rsid w:val="0046346A"/>
    <w:rsid w:val="004639FD"/>
    <w:rsid w:val="004650D0"/>
    <w:rsid w:val="00465930"/>
    <w:rsid w:val="00466554"/>
    <w:rsid w:val="00470A4A"/>
    <w:rsid w:val="00471591"/>
    <w:rsid w:val="004725C4"/>
    <w:rsid w:val="0047366E"/>
    <w:rsid w:val="004736EA"/>
    <w:rsid w:val="00473D4F"/>
    <w:rsid w:val="00473D8A"/>
    <w:rsid w:val="0047484D"/>
    <w:rsid w:val="004749A6"/>
    <w:rsid w:val="004762BF"/>
    <w:rsid w:val="004763DF"/>
    <w:rsid w:val="004764D3"/>
    <w:rsid w:val="00476DD4"/>
    <w:rsid w:val="0047704F"/>
    <w:rsid w:val="004810D5"/>
    <w:rsid w:val="004811B5"/>
    <w:rsid w:val="004813CF"/>
    <w:rsid w:val="00482071"/>
    <w:rsid w:val="00483699"/>
    <w:rsid w:val="004836A4"/>
    <w:rsid w:val="004838EF"/>
    <w:rsid w:val="00484445"/>
    <w:rsid w:val="0048450D"/>
    <w:rsid w:val="00484C01"/>
    <w:rsid w:val="00484E00"/>
    <w:rsid w:val="00484E81"/>
    <w:rsid w:val="00486A85"/>
    <w:rsid w:val="00490268"/>
    <w:rsid w:val="004907E5"/>
    <w:rsid w:val="004912FB"/>
    <w:rsid w:val="00491EAB"/>
    <w:rsid w:val="00491F08"/>
    <w:rsid w:val="00492B29"/>
    <w:rsid w:val="004937CF"/>
    <w:rsid w:val="00495039"/>
    <w:rsid w:val="00495CD2"/>
    <w:rsid w:val="004964E3"/>
    <w:rsid w:val="004975FD"/>
    <w:rsid w:val="00497688"/>
    <w:rsid w:val="004978B0"/>
    <w:rsid w:val="00497962"/>
    <w:rsid w:val="004A0329"/>
    <w:rsid w:val="004A108A"/>
    <w:rsid w:val="004A164C"/>
    <w:rsid w:val="004A22E9"/>
    <w:rsid w:val="004A341C"/>
    <w:rsid w:val="004A45C9"/>
    <w:rsid w:val="004A5135"/>
    <w:rsid w:val="004A54B7"/>
    <w:rsid w:val="004A5828"/>
    <w:rsid w:val="004A5934"/>
    <w:rsid w:val="004A68A6"/>
    <w:rsid w:val="004A68BE"/>
    <w:rsid w:val="004A6A33"/>
    <w:rsid w:val="004B0F84"/>
    <w:rsid w:val="004B120C"/>
    <w:rsid w:val="004B198D"/>
    <w:rsid w:val="004B2371"/>
    <w:rsid w:val="004B2567"/>
    <w:rsid w:val="004B3547"/>
    <w:rsid w:val="004B3D8A"/>
    <w:rsid w:val="004B75AD"/>
    <w:rsid w:val="004C0BDD"/>
    <w:rsid w:val="004C110E"/>
    <w:rsid w:val="004C3427"/>
    <w:rsid w:val="004C364E"/>
    <w:rsid w:val="004C3818"/>
    <w:rsid w:val="004C3A99"/>
    <w:rsid w:val="004C426D"/>
    <w:rsid w:val="004C53DF"/>
    <w:rsid w:val="004C73BE"/>
    <w:rsid w:val="004C749F"/>
    <w:rsid w:val="004D0715"/>
    <w:rsid w:val="004D0EA8"/>
    <w:rsid w:val="004D19DF"/>
    <w:rsid w:val="004D1C00"/>
    <w:rsid w:val="004D23BC"/>
    <w:rsid w:val="004D2A1E"/>
    <w:rsid w:val="004D5847"/>
    <w:rsid w:val="004D598B"/>
    <w:rsid w:val="004D63F6"/>
    <w:rsid w:val="004D703D"/>
    <w:rsid w:val="004D7616"/>
    <w:rsid w:val="004E2342"/>
    <w:rsid w:val="004E27F1"/>
    <w:rsid w:val="004E4302"/>
    <w:rsid w:val="004E4A4B"/>
    <w:rsid w:val="004E4D87"/>
    <w:rsid w:val="004E5C2A"/>
    <w:rsid w:val="004E6DFB"/>
    <w:rsid w:val="004E70AF"/>
    <w:rsid w:val="004F1BF0"/>
    <w:rsid w:val="004F27EB"/>
    <w:rsid w:val="004F2AFF"/>
    <w:rsid w:val="004F35BA"/>
    <w:rsid w:val="004F447D"/>
    <w:rsid w:val="004F4BCF"/>
    <w:rsid w:val="004F5061"/>
    <w:rsid w:val="004F5812"/>
    <w:rsid w:val="004F5B47"/>
    <w:rsid w:val="004F6E7A"/>
    <w:rsid w:val="005005B9"/>
    <w:rsid w:val="005010C3"/>
    <w:rsid w:val="005015B3"/>
    <w:rsid w:val="005015C9"/>
    <w:rsid w:val="005016FD"/>
    <w:rsid w:val="00504019"/>
    <w:rsid w:val="00504D7C"/>
    <w:rsid w:val="005053B5"/>
    <w:rsid w:val="0050540A"/>
    <w:rsid w:val="0050543C"/>
    <w:rsid w:val="00505DAA"/>
    <w:rsid w:val="0050757D"/>
    <w:rsid w:val="00507C18"/>
    <w:rsid w:val="005108CB"/>
    <w:rsid w:val="00510A3E"/>
    <w:rsid w:val="00510D17"/>
    <w:rsid w:val="00511946"/>
    <w:rsid w:val="00511B9F"/>
    <w:rsid w:val="0051361C"/>
    <w:rsid w:val="005146E0"/>
    <w:rsid w:val="00515E40"/>
    <w:rsid w:val="005160F1"/>
    <w:rsid w:val="00516755"/>
    <w:rsid w:val="00516A57"/>
    <w:rsid w:val="00516B8C"/>
    <w:rsid w:val="00516DD0"/>
    <w:rsid w:val="00517E86"/>
    <w:rsid w:val="005202D8"/>
    <w:rsid w:val="00521720"/>
    <w:rsid w:val="00521C5A"/>
    <w:rsid w:val="0052239C"/>
    <w:rsid w:val="00522D88"/>
    <w:rsid w:val="005233C3"/>
    <w:rsid w:val="005238AC"/>
    <w:rsid w:val="0052575E"/>
    <w:rsid w:val="00525F86"/>
    <w:rsid w:val="00527763"/>
    <w:rsid w:val="005278CD"/>
    <w:rsid w:val="00530588"/>
    <w:rsid w:val="005312D2"/>
    <w:rsid w:val="005317FA"/>
    <w:rsid w:val="00531DC7"/>
    <w:rsid w:val="00532035"/>
    <w:rsid w:val="00532454"/>
    <w:rsid w:val="005327EA"/>
    <w:rsid w:val="00532D9C"/>
    <w:rsid w:val="00533297"/>
    <w:rsid w:val="005345F9"/>
    <w:rsid w:val="0053476D"/>
    <w:rsid w:val="00535071"/>
    <w:rsid w:val="005369FA"/>
    <w:rsid w:val="00540D61"/>
    <w:rsid w:val="00541541"/>
    <w:rsid w:val="00541712"/>
    <w:rsid w:val="00541BAE"/>
    <w:rsid w:val="0054222F"/>
    <w:rsid w:val="0054286B"/>
    <w:rsid w:val="0054346A"/>
    <w:rsid w:val="005436BB"/>
    <w:rsid w:val="00546E82"/>
    <w:rsid w:val="00546F6F"/>
    <w:rsid w:val="0054736C"/>
    <w:rsid w:val="0055004A"/>
    <w:rsid w:val="00550BC4"/>
    <w:rsid w:val="00550EE0"/>
    <w:rsid w:val="0055219A"/>
    <w:rsid w:val="0055220E"/>
    <w:rsid w:val="0055305A"/>
    <w:rsid w:val="00553481"/>
    <w:rsid w:val="00553AD7"/>
    <w:rsid w:val="00555929"/>
    <w:rsid w:val="00555EFC"/>
    <w:rsid w:val="0055694B"/>
    <w:rsid w:val="00557214"/>
    <w:rsid w:val="00557EF4"/>
    <w:rsid w:val="005609DE"/>
    <w:rsid w:val="0056154F"/>
    <w:rsid w:val="00562BCC"/>
    <w:rsid w:val="005633D6"/>
    <w:rsid w:val="00563C3C"/>
    <w:rsid w:val="0056568F"/>
    <w:rsid w:val="00567728"/>
    <w:rsid w:val="00567BDD"/>
    <w:rsid w:val="00567C74"/>
    <w:rsid w:val="0057001F"/>
    <w:rsid w:val="00570247"/>
    <w:rsid w:val="0057157F"/>
    <w:rsid w:val="00571DBE"/>
    <w:rsid w:val="005734F4"/>
    <w:rsid w:val="005740BA"/>
    <w:rsid w:val="005745CC"/>
    <w:rsid w:val="00574B5C"/>
    <w:rsid w:val="00574D5E"/>
    <w:rsid w:val="00575575"/>
    <w:rsid w:val="00576E8C"/>
    <w:rsid w:val="00580393"/>
    <w:rsid w:val="005820AB"/>
    <w:rsid w:val="00585E81"/>
    <w:rsid w:val="005863C4"/>
    <w:rsid w:val="00586D49"/>
    <w:rsid w:val="005900EB"/>
    <w:rsid w:val="0059090B"/>
    <w:rsid w:val="00590D18"/>
    <w:rsid w:val="0059196D"/>
    <w:rsid w:val="00592E24"/>
    <w:rsid w:val="00593753"/>
    <w:rsid w:val="00593ACE"/>
    <w:rsid w:val="00593F82"/>
    <w:rsid w:val="005940CB"/>
    <w:rsid w:val="00595A9B"/>
    <w:rsid w:val="005965E9"/>
    <w:rsid w:val="00596A72"/>
    <w:rsid w:val="00597184"/>
    <w:rsid w:val="0059776B"/>
    <w:rsid w:val="00597D3B"/>
    <w:rsid w:val="005A08F5"/>
    <w:rsid w:val="005A09CB"/>
    <w:rsid w:val="005A0A81"/>
    <w:rsid w:val="005A1029"/>
    <w:rsid w:val="005A17F1"/>
    <w:rsid w:val="005A1C03"/>
    <w:rsid w:val="005A1C79"/>
    <w:rsid w:val="005A2B50"/>
    <w:rsid w:val="005A4B02"/>
    <w:rsid w:val="005A5276"/>
    <w:rsid w:val="005A6C46"/>
    <w:rsid w:val="005A798A"/>
    <w:rsid w:val="005A7DA4"/>
    <w:rsid w:val="005A7DA9"/>
    <w:rsid w:val="005B1AC5"/>
    <w:rsid w:val="005B2C58"/>
    <w:rsid w:val="005B2CBC"/>
    <w:rsid w:val="005B3BC2"/>
    <w:rsid w:val="005B41AC"/>
    <w:rsid w:val="005B4735"/>
    <w:rsid w:val="005B5596"/>
    <w:rsid w:val="005B6B63"/>
    <w:rsid w:val="005B77EB"/>
    <w:rsid w:val="005C0DAE"/>
    <w:rsid w:val="005C1D87"/>
    <w:rsid w:val="005C274D"/>
    <w:rsid w:val="005C310C"/>
    <w:rsid w:val="005C3278"/>
    <w:rsid w:val="005C3B5B"/>
    <w:rsid w:val="005C431D"/>
    <w:rsid w:val="005C4549"/>
    <w:rsid w:val="005C4EE3"/>
    <w:rsid w:val="005C56AE"/>
    <w:rsid w:val="005C647C"/>
    <w:rsid w:val="005C6522"/>
    <w:rsid w:val="005C688D"/>
    <w:rsid w:val="005C6F3C"/>
    <w:rsid w:val="005C7E1B"/>
    <w:rsid w:val="005D0537"/>
    <w:rsid w:val="005D05D6"/>
    <w:rsid w:val="005D073D"/>
    <w:rsid w:val="005D1460"/>
    <w:rsid w:val="005D151D"/>
    <w:rsid w:val="005D1753"/>
    <w:rsid w:val="005D2585"/>
    <w:rsid w:val="005D3035"/>
    <w:rsid w:val="005D3DB0"/>
    <w:rsid w:val="005D4C88"/>
    <w:rsid w:val="005D4F17"/>
    <w:rsid w:val="005D6B9F"/>
    <w:rsid w:val="005D6F4D"/>
    <w:rsid w:val="005D764B"/>
    <w:rsid w:val="005D7A45"/>
    <w:rsid w:val="005D7D1A"/>
    <w:rsid w:val="005E00C0"/>
    <w:rsid w:val="005E01FF"/>
    <w:rsid w:val="005E03CB"/>
    <w:rsid w:val="005E15A6"/>
    <w:rsid w:val="005E4B3A"/>
    <w:rsid w:val="005E54D0"/>
    <w:rsid w:val="005E6632"/>
    <w:rsid w:val="005F045F"/>
    <w:rsid w:val="005F0BA4"/>
    <w:rsid w:val="005F1180"/>
    <w:rsid w:val="005F11F9"/>
    <w:rsid w:val="005F1ABA"/>
    <w:rsid w:val="005F1C50"/>
    <w:rsid w:val="005F2239"/>
    <w:rsid w:val="005F3075"/>
    <w:rsid w:val="005F4D6E"/>
    <w:rsid w:val="005F56FC"/>
    <w:rsid w:val="005F5864"/>
    <w:rsid w:val="005F5E5B"/>
    <w:rsid w:val="005F72C6"/>
    <w:rsid w:val="005F747E"/>
    <w:rsid w:val="00600788"/>
    <w:rsid w:val="006012DC"/>
    <w:rsid w:val="00601351"/>
    <w:rsid w:val="00601764"/>
    <w:rsid w:val="00601818"/>
    <w:rsid w:val="006023D1"/>
    <w:rsid w:val="006028D6"/>
    <w:rsid w:val="0060313E"/>
    <w:rsid w:val="0060325B"/>
    <w:rsid w:val="006033F9"/>
    <w:rsid w:val="00603DA6"/>
    <w:rsid w:val="00603DCB"/>
    <w:rsid w:val="00604E35"/>
    <w:rsid w:val="00604F4B"/>
    <w:rsid w:val="00604F82"/>
    <w:rsid w:val="00606347"/>
    <w:rsid w:val="00606485"/>
    <w:rsid w:val="00610B22"/>
    <w:rsid w:val="00610B3A"/>
    <w:rsid w:val="006117FE"/>
    <w:rsid w:val="00611B2C"/>
    <w:rsid w:val="006126C2"/>
    <w:rsid w:val="00613175"/>
    <w:rsid w:val="00614873"/>
    <w:rsid w:val="006156A1"/>
    <w:rsid w:val="00616129"/>
    <w:rsid w:val="0061676A"/>
    <w:rsid w:val="006174CE"/>
    <w:rsid w:val="00622B33"/>
    <w:rsid w:val="00622EB8"/>
    <w:rsid w:val="00623977"/>
    <w:rsid w:val="00624F1D"/>
    <w:rsid w:val="00626E40"/>
    <w:rsid w:val="0062706F"/>
    <w:rsid w:val="00627195"/>
    <w:rsid w:val="00627CF6"/>
    <w:rsid w:val="006302ED"/>
    <w:rsid w:val="006308E7"/>
    <w:rsid w:val="00630A0D"/>
    <w:rsid w:val="00630C17"/>
    <w:rsid w:val="0063180D"/>
    <w:rsid w:val="006319F8"/>
    <w:rsid w:val="006326C4"/>
    <w:rsid w:val="006339CC"/>
    <w:rsid w:val="006340BB"/>
    <w:rsid w:val="0063425D"/>
    <w:rsid w:val="0063459E"/>
    <w:rsid w:val="00634B77"/>
    <w:rsid w:val="0063516E"/>
    <w:rsid w:val="0063546A"/>
    <w:rsid w:val="00636E38"/>
    <w:rsid w:val="00637315"/>
    <w:rsid w:val="00637591"/>
    <w:rsid w:val="00640785"/>
    <w:rsid w:val="00640979"/>
    <w:rsid w:val="00640ED2"/>
    <w:rsid w:val="00641114"/>
    <w:rsid w:val="0064152F"/>
    <w:rsid w:val="006419A4"/>
    <w:rsid w:val="00641AE4"/>
    <w:rsid w:val="00641AEF"/>
    <w:rsid w:val="00641DED"/>
    <w:rsid w:val="00642F9B"/>
    <w:rsid w:val="00645345"/>
    <w:rsid w:val="00645D49"/>
    <w:rsid w:val="006468D5"/>
    <w:rsid w:val="00647570"/>
    <w:rsid w:val="00647CEB"/>
    <w:rsid w:val="00650667"/>
    <w:rsid w:val="006511E7"/>
    <w:rsid w:val="00651357"/>
    <w:rsid w:val="00651AD4"/>
    <w:rsid w:val="0065256B"/>
    <w:rsid w:val="006538E6"/>
    <w:rsid w:val="00653D48"/>
    <w:rsid w:val="00655F29"/>
    <w:rsid w:val="0065621B"/>
    <w:rsid w:val="00656248"/>
    <w:rsid w:val="0065702E"/>
    <w:rsid w:val="006609E1"/>
    <w:rsid w:val="0066140B"/>
    <w:rsid w:val="00661C12"/>
    <w:rsid w:val="00661CF7"/>
    <w:rsid w:val="00661EEB"/>
    <w:rsid w:val="00662912"/>
    <w:rsid w:val="00662F3B"/>
    <w:rsid w:val="006668AE"/>
    <w:rsid w:val="00670434"/>
    <w:rsid w:val="00671EE7"/>
    <w:rsid w:val="006731F2"/>
    <w:rsid w:val="0067356F"/>
    <w:rsid w:val="006737FD"/>
    <w:rsid w:val="006741FA"/>
    <w:rsid w:val="006753EC"/>
    <w:rsid w:val="00675669"/>
    <w:rsid w:val="00675887"/>
    <w:rsid w:val="00675B20"/>
    <w:rsid w:val="00675D13"/>
    <w:rsid w:val="006764CA"/>
    <w:rsid w:val="006768BC"/>
    <w:rsid w:val="006768D9"/>
    <w:rsid w:val="00677029"/>
    <w:rsid w:val="006775D3"/>
    <w:rsid w:val="0068110E"/>
    <w:rsid w:val="00682F71"/>
    <w:rsid w:val="00683A65"/>
    <w:rsid w:val="00684EB1"/>
    <w:rsid w:val="006868B7"/>
    <w:rsid w:val="00686980"/>
    <w:rsid w:val="00687AF7"/>
    <w:rsid w:val="00691692"/>
    <w:rsid w:val="00691778"/>
    <w:rsid w:val="006941BA"/>
    <w:rsid w:val="006948BC"/>
    <w:rsid w:val="00694A07"/>
    <w:rsid w:val="00694C8E"/>
    <w:rsid w:val="00695478"/>
    <w:rsid w:val="0069604E"/>
    <w:rsid w:val="00696663"/>
    <w:rsid w:val="00697157"/>
    <w:rsid w:val="0069770E"/>
    <w:rsid w:val="0069795B"/>
    <w:rsid w:val="00697A36"/>
    <w:rsid w:val="006A0465"/>
    <w:rsid w:val="006A16C0"/>
    <w:rsid w:val="006A196F"/>
    <w:rsid w:val="006A2C45"/>
    <w:rsid w:val="006A639E"/>
    <w:rsid w:val="006A6C7E"/>
    <w:rsid w:val="006B06F4"/>
    <w:rsid w:val="006B1219"/>
    <w:rsid w:val="006B14DE"/>
    <w:rsid w:val="006B16B4"/>
    <w:rsid w:val="006B1BC8"/>
    <w:rsid w:val="006B2346"/>
    <w:rsid w:val="006B2A54"/>
    <w:rsid w:val="006B2D5F"/>
    <w:rsid w:val="006B3745"/>
    <w:rsid w:val="006B5685"/>
    <w:rsid w:val="006C099D"/>
    <w:rsid w:val="006C16E7"/>
    <w:rsid w:val="006C20FD"/>
    <w:rsid w:val="006C252E"/>
    <w:rsid w:val="006C3202"/>
    <w:rsid w:val="006C441F"/>
    <w:rsid w:val="006C4895"/>
    <w:rsid w:val="006C562C"/>
    <w:rsid w:val="006C5C60"/>
    <w:rsid w:val="006C5CB8"/>
    <w:rsid w:val="006C5E49"/>
    <w:rsid w:val="006C6849"/>
    <w:rsid w:val="006C7475"/>
    <w:rsid w:val="006C7B77"/>
    <w:rsid w:val="006D0426"/>
    <w:rsid w:val="006D0FFC"/>
    <w:rsid w:val="006D1ADA"/>
    <w:rsid w:val="006D480B"/>
    <w:rsid w:val="006D5914"/>
    <w:rsid w:val="006D6061"/>
    <w:rsid w:val="006D6BD5"/>
    <w:rsid w:val="006D6DAE"/>
    <w:rsid w:val="006E042E"/>
    <w:rsid w:val="006E06E4"/>
    <w:rsid w:val="006E116F"/>
    <w:rsid w:val="006E2524"/>
    <w:rsid w:val="006E3131"/>
    <w:rsid w:val="006E3AAD"/>
    <w:rsid w:val="006E3EAA"/>
    <w:rsid w:val="006E427E"/>
    <w:rsid w:val="006E4B00"/>
    <w:rsid w:val="006F06A2"/>
    <w:rsid w:val="006F0C72"/>
    <w:rsid w:val="006F128F"/>
    <w:rsid w:val="006F21FC"/>
    <w:rsid w:val="006F2D1F"/>
    <w:rsid w:val="006F2FBA"/>
    <w:rsid w:val="006F3564"/>
    <w:rsid w:val="006F367E"/>
    <w:rsid w:val="006F3EEA"/>
    <w:rsid w:val="006F40A1"/>
    <w:rsid w:val="006F5303"/>
    <w:rsid w:val="006F599D"/>
    <w:rsid w:val="006F72AB"/>
    <w:rsid w:val="006F7492"/>
    <w:rsid w:val="006F783F"/>
    <w:rsid w:val="00700309"/>
    <w:rsid w:val="0070159C"/>
    <w:rsid w:val="007015BE"/>
    <w:rsid w:val="00702083"/>
    <w:rsid w:val="00702A68"/>
    <w:rsid w:val="00702F9C"/>
    <w:rsid w:val="00703B83"/>
    <w:rsid w:val="007046A6"/>
    <w:rsid w:val="0070473B"/>
    <w:rsid w:val="00705835"/>
    <w:rsid w:val="00705D01"/>
    <w:rsid w:val="00705DF2"/>
    <w:rsid w:val="0070761F"/>
    <w:rsid w:val="0070795F"/>
    <w:rsid w:val="00707E7D"/>
    <w:rsid w:val="007103BA"/>
    <w:rsid w:val="00710F69"/>
    <w:rsid w:val="00711D4D"/>
    <w:rsid w:val="00712030"/>
    <w:rsid w:val="00712119"/>
    <w:rsid w:val="007133C3"/>
    <w:rsid w:val="0071357B"/>
    <w:rsid w:val="00714AAE"/>
    <w:rsid w:val="007157BA"/>
    <w:rsid w:val="00717780"/>
    <w:rsid w:val="00717AC7"/>
    <w:rsid w:val="00717DF0"/>
    <w:rsid w:val="00720DAC"/>
    <w:rsid w:val="00721164"/>
    <w:rsid w:val="0072205A"/>
    <w:rsid w:val="00722B29"/>
    <w:rsid w:val="007231D5"/>
    <w:rsid w:val="00723A8B"/>
    <w:rsid w:val="00725397"/>
    <w:rsid w:val="007265D2"/>
    <w:rsid w:val="00726F24"/>
    <w:rsid w:val="00727142"/>
    <w:rsid w:val="00727267"/>
    <w:rsid w:val="00727A60"/>
    <w:rsid w:val="007320B1"/>
    <w:rsid w:val="00732317"/>
    <w:rsid w:val="007325CE"/>
    <w:rsid w:val="0073263B"/>
    <w:rsid w:val="00733CBB"/>
    <w:rsid w:val="00734D74"/>
    <w:rsid w:val="007368F0"/>
    <w:rsid w:val="00736B34"/>
    <w:rsid w:val="00736BF3"/>
    <w:rsid w:val="0073760F"/>
    <w:rsid w:val="00737E91"/>
    <w:rsid w:val="0074189D"/>
    <w:rsid w:val="00742136"/>
    <w:rsid w:val="007424F5"/>
    <w:rsid w:val="00743580"/>
    <w:rsid w:val="00743DA6"/>
    <w:rsid w:val="00744572"/>
    <w:rsid w:val="007446D0"/>
    <w:rsid w:val="00744A7F"/>
    <w:rsid w:val="007469CB"/>
    <w:rsid w:val="00746AF5"/>
    <w:rsid w:val="00750363"/>
    <w:rsid w:val="007515EC"/>
    <w:rsid w:val="007516E8"/>
    <w:rsid w:val="00751941"/>
    <w:rsid w:val="00753090"/>
    <w:rsid w:val="00753436"/>
    <w:rsid w:val="00753DFB"/>
    <w:rsid w:val="0075630E"/>
    <w:rsid w:val="00761E2D"/>
    <w:rsid w:val="00761F49"/>
    <w:rsid w:val="00762585"/>
    <w:rsid w:val="00762B90"/>
    <w:rsid w:val="00762C36"/>
    <w:rsid w:val="00762C69"/>
    <w:rsid w:val="00763B1C"/>
    <w:rsid w:val="00765CAF"/>
    <w:rsid w:val="00765D3D"/>
    <w:rsid w:val="0076610A"/>
    <w:rsid w:val="00766248"/>
    <w:rsid w:val="00766509"/>
    <w:rsid w:val="0076676D"/>
    <w:rsid w:val="00767A9C"/>
    <w:rsid w:val="00767CF2"/>
    <w:rsid w:val="00767FA5"/>
    <w:rsid w:val="0077058C"/>
    <w:rsid w:val="00771749"/>
    <w:rsid w:val="00772AF0"/>
    <w:rsid w:val="007731F1"/>
    <w:rsid w:val="00774A58"/>
    <w:rsid w:val="007754E0"/>
    <w:rsid w:val="00775CB6"/>
    <w:rsid w:val="00775E42"/>
    <w:rsid w:val="007762E3"/>
    <w:rsid w:val="00776F21"/>
    <w:rsid w:val="00776FAA"/>
    <w:rsid w:val="0077743C"/>
    <w:rsid w:val="00777911"/>
    <w:rsid w:val="0077793B"/>
    <w:rsid w:val="00777B97"/>
    <w:rsid w:val="00777C43"/>
    <w:rsid w:val="00777E2D"/>
    <w:rsid w:val="0078125A"/>
    <w:rsid w:val="00781A3D"/>
    <w:rsid w:val="00782009"/>
    <w:rsid w:val="0078328A"/>
    <w:rsid w:val="00784677"/>
    <w:rsid w:val="007851C9"/>
    <w:rsid w:val="007876A9"/>
    <w:rsid w:val="007877C9"/>
    <w:rsid w:val="00793C03"/>
    <w:rsid w:val="0079451D"/>
    <w:rsid w:val="007947BB"/>
    <w:rsid w:val="00794BB2"/>
    <w:rsid w:val="00794FA7"/>
    <w:rsid w:val="00795BCE"/>
    <w:rsid w:val="00796AEE"/>
    <w:rsid w:val="00796BA7"/>
    <w:rsid w:val="00796BF4"/>
    <w:rsid w:val="007970C8"/>
    <w:rsid w:val="0079761B"/>
    <w:rsid w:val="007A0FF7"/>
    <w:rsid w:val="007A114C"/>
    <w:rsid w:val="007A27C2"/>
    <w:rsid w:val="007A3A16"/>
    <w:rsid w:val="007A4655"/>
    <w:rsid w:val="007A4A66"/>
    <w:rsid w:val="007A4B8B"/>
    <w:rsid w:val="007A52F8"/>
    <w:rsid w:val="007A690F"/>
    <w:rsid w:val="007A71C0"/>
    <w:rsid w:val="007A7B87"/>
    <w:rsid w:val="007A7E7F"/>
    <w:rsid w:val="007B03D8"/>
    <w:rsid w:val="007B069A"/>
    <w:rsid w:val="007B0751"/>
    <w:rsid w:val="007B0BF6"/>
    <w:rsid w:val="007B14E2"/>
    <w:rsid w:val="007B32E6"/>
    <w:rsid w:val="007B4E0F"/>
    <w:rsid w:val="007B5836"/>
    <w:rsid w:val="007B59BD"/>
    <w:rsid w:val="007B5BCE"/>
    <w:rsid w:val="007B74E6"/>
    <w:rsid w:val="007B7846"/>
    <w:rsid w:val="007B78D1"/>
    <w:rsid w:val="007B7D2B"/>
    <w:rsid w:val="007B7DC8"/>
    <w:rsid w:val="007C119C"/>
    <w:rsid w:val="007C1E52"/>
    <w:rsid w:val="007C3B50"/>
    <w:rsid w:val="007C48B2"/>
    <w:rsid w:val="007C4CBB"/>
    <w:rsid w:val="007C51AF"/>
    <w:rsid w:val="007C7263"/>
    <w:rsid w:val="007C7570"/>
    <w:rsid w:val="007C7B3B"/>
    <w:rsid w:val="007D28A4"/>
    <w:rsid w:val="007D2F49"/>
    <w:rsid w:val="007D2FE0"/>
    <w:rsid w:val="007D3FA6"/>
    <w:rsid w:val="007D40E1"/>
    <w:rsid w:val="007D4EE9"/>
    <w:rsid w:val="007D5798"/>
    <w:rsid w:val="007D58FB"/>
    <w:rsid w:val="007D6E2E"/>
    <w:rsid w:val="007D7201"/>
    <w:rsid w:val="007D79C5"/>
    <w:rsid w:val="007D7DDC"/>
    <w:rsid w:val="007E002E"/>
    <w:rsid w:val="007E02D9"/>
    <w:rsid w:val="007E0331"/>
    <w:rsid w:val="007E092F"/>
    <w:rsid w:val="007E11BE"/>
    <w:rsid w:val="007E12E0"/>
    <w:rsid w:val="007E172B"/>
    <w:rsid w:val="007E20E9"/>
    <w:rsid w:val="007E2A8A"/>
    <w:rsid w:val="007E3110"/>
    <w:rsid w:val="007E362A"/>
    <w:rsid w:val="007E3DE7"/>
    <w:rsid w:val="007E631C"/>
    <w:rsid w:val="007E66F2"/>
    <w:rsid w:val="007E7C0F"/>
    <w:rsid w:val="007F0E6F"/>
    <w:rsid w:val="007F1014"/>
    <w:rsid w:val="007F103E"/>
    <w:rsid w:val="007F1C72"/>
    <w:rsid w:val="007F1E08"/>
    <w:rsid w:val="007F1E59"/>
    <w:rsid w:val="007F20F9"/>
    <w:rsid w:val="007F251A"/>
    <w:rsid w:val="007F2552"/>
    <w:rsid w:val="007F2BE6"/>
    <w:rsid w:val="007F31E6"/>
    <w:rsid w:val="007F3251"/>
    <w:rsid w:val="007F35CA"/>
    <w:rsid w:val="007F3627"/>
    <w:rsid w:val="007F3F68"/>
    <w:rsid w:val="007F452C"/>
    <w:rsid w:val="007F666F"/>
    <w:rsid w:val="007F6ABD"/>
    <w:rsid w:val="007F6CE9"/>
    <w:rsid w:val="007F766B"/>
    <w:rsid w:val="00800130"/>
    <w:rsid w:val="0080028D"/>
    <w:rsid w:val="0080195C"/>
    <w:rsid w:val="00801ECE"/>
    <w:rsid w:val="00802919"/>
    <w:rsid w:val="00803331"/>
    <w:rsid w:val="008038BC"/>
    <w:rsid w:val="00804552"/>
    <w:rsid w:val="008049FE"/>
    <w:rsid w:val="00805DC5"/>
    <w:rsid w:val="0080643E"/>
    <w:rsid w:val="0080747F"/>
    <w:rsid w:val="008111AC"/>
    <w:rsid w:val="00811B8E"/>
    <w:rsid w:val="00812A56"/>
    <w:rsid w:val="00815BFB"/>
    <w:rsid w:val="0081628F"/>
    <w:rsid w:val="008166DF"/>
    <w:rsid w:val="00816AF1"/>
    <w:rsid w:val="0082011E"/>
    <w:rsid w:val="00820D07"/>
    <w:rsid w:val="008240A3"/>
    <w:rsid w:val="00825601"/>
    <w:rsid w:val="00825817"/>
    <w:rsid w:val="00827E3D"/>
    <w:rsid w:val="00831764"/>
    <w:rsid w:val="0083319F"/>
    <w:rsid w:val="00834578"/>
    <w:rsid w:val="008346C3"/>
    <w:rsid w:val="00834DD6"/>
    <w:rsid w:val="008368DA"/>
    <w:rsid w:val="00836DCB"/>
    <w:rsid w:val="00837246"/>
    <w:rsid w:val="00837EE5"/>
    <w:rsid w:val="00840A33"/>
    <w:rsid w:val="00841A68"/>
    <w:rsid w:val="00841DF1"/>
    <w:rsid w:val="00842A07"/>
    <w:rsid w:val="00842EFB"/>
    <w:rsid w:val="00844BB3"/>
    <w:rsid w:val="00845597"/>
    <w:rsid w:val="008472C4"/>
    <w:rsid w:val="00850764"/>
    <w:rsid w:val="00850F7B"/>
    <w:rsid w:val="00851B4E"/>
    <w:rsid w:val="0085249B"/>
    <w:rsid w:val="008532F9"/>
    <w:rsid w:val="0085418A"/>
    <w:rsid w:val="00854763"/>
    <w:rsid w:val="00854EB8"/>
    <w:rsid w:val="00855A84"/>
    <w:rsid w:val="00855C23"/>
    <w:rsid w:val="00860D18"/>
    <w:rsid w:val="0086211A"/>
    <w:rsid w:val="00862337"/>
    <w:rsid w:val="00863F5E"/>
    <w:rsid w:val="00864202"/>
    <w:rsid w:val="00864FC4"/>
    <w:rsid w:val="00866891"/>
    <w:rsid w:val="00866D97"/>
    <w:rsid w:val="00867AF4"/>
    <w:rsid w:val="0087003D"/>
    <w:rsid w:val="00870F45"/>
    <w:rsid w:val="0087121D"/>
    <w:rsid w:val="008713B4"/>
    <w:rsid w:val="00871E04"/>
    <w:rsid w:val="008735FB"/>
    <w:rsid w:val="00874403"/>
    <w:rsid w:val="00875056"/>
    <w:rsid w:val="0087557A"/>
    <w:rsid w:val="00875937"/>
    <w:rsid w:val="00875EFE"/>
    <w:rsid w:val="00875FC2"/>
    <w:rsid w:val="0087656C"/>
    <w:rsid w:val="008765B1"/>
    <w:rsid w:val="00877843"/>
    <w:rsid w:val="00880479"/>
    <w:rsid w:val="008806BA"/>
    <w:rsid w:val="00880749"/>
    <w:rsid w:val="008845E3"/>
    <w:rsid w:val="008847AE"/>
    <w:rsid w:val="008849A2"/>
    <w:rsid w:val="00885093"/>
    <w:rsid w:val="0088558F"/>
    <w:rsid w:val="00885AAC"/>
    <w:rsid w:val="008866E4"/>
    <w:rsid w:val="00886A63"/>
    <w:rsid w:val="00886E91"/>
    <w:rsid w:val="008876A2"/>
    <w:rsid w:val="008904F6"/>
    <w:rsid w:val="008907C8"/>
    <w:rsid w:val="00890DC7"/>
    <w:rsid w:val="00891374"/>
    <w:rsid w:val="00891D6C"/>
    <w:rsid w:val="00891F61"/>
    <w:rsid w:val="0089261D"/>
    <w:rsid w:val="00892FED"/>
    <w:rsid w:val="00893ECB"/>
    <w:rsid w:val="00893EE5"/>
    <w:rsid w:val="0089473C"/>
    <w:rsid w:val="008955EC"/>
    <w:rsid w:val="00896FB2"/>
    <w:rsid w:val="008A0A0F"/>
    <w:rsid w:val="008A0B6B"/>
    <w:rsid w:val="008A0E96"/>
    <w:rsid w:val="008A0EEA"/>
    <w:rsid w:val="008A1856"/>
    <w:rsid w:val="008A2796"/>
    <w:rsid w:val="008A28DD"/>
    <w:rsid w:val="008A2B97"/>
    <w:rsid w:val="008A40D2"/>
    <w:rsid w:val="008A469F"/>
    <w:rsid w:val="008A4B79"/>
    <w:rsid w:val="008A59A7"/>
    <w:rsid w:val="008B03E9"/>
    <w:rsid w:val="008B048C"/>
    <w:rsid w:val="008B1F61"/>
    <w:rsid w:val="008B216F"/>
    <w:rsid w:val="008B21E5"/>
    <w:rsid w:val="008B24E3"/>
    <w:rsid w:val="008B275D"/>
    <w:rsid w:val="008B2F1A"/>
    <w:rsid w:val="008B4A67"/>
    <w:rsid w:val="008B50A3"/>
    <w:rsid w:val="008B53A7"/>
    <w:rsid w:val="008B541F"/>
    <w:rsid w:val="008B5A50"/>
    <w:rsid w:val="008B6335"/>
    <w:rsid w:val="008B7135"/>
    <w:rsid w:val="008B75DE"/>
    <w:rsid w:val="008C296B"/>
    <w:rsid w:val="008C46CD"/>
    <w:rsid w:val="008C48AC"/>
    <w:rsid w:val="008C5BEB"/>
    <w:rsid w:val="008C6618"/>
    <w:rsid w:val="008C77DB"/>
    <w:rsid w:val="008C7BDE"/>
    <w:rsid w:val="008D0ABE"/>
    <w:rsid w:val="008D156F"/>
    <w:rsid w:val="008D2619"/>
    <w:rsid w:val="008D2C8B"/>
    <w:rsid w:val="008D4079"/>
    <w:rsid w:val="008D4A74"/>
    <w:rsid w:val="008D67AE"/>
    <w:rsid w:val="008D70E3"/>
    <w:rsid w:val="008D71C6"/>
    <w:rsid w:val="008E0AEC"/>
    <w:rsid w:val="008E0C27"/>
    <w:rsid w:val="008E0CE0"/>
    <w:rsid w:val="008E14D9"/>
    <w:rsid w:val="008E15C5"/>
    <w:rsid w:val="008E1784"/>
    <w:rsid w:val="008E219B"/>
    <w:rsid w:val="008E280D"/>
    <w:rsid w:val="008E321F"/>
    <w:rsid w:val="008E3599"/>
    <w:rsid w:val="008E4B49"/>
    <w:rsid w:val="008E5263"/>
    <w:rsid w:val="008E5870"/>
    <w:rsid w:val="008E5A37"/>
    <w:rsid w:val="008E5B6C"/>
    <w:rsid w:val="008E5C9F"/>
    <w:rsid w:val="008E5CEA"/>
    <w:rsid w:val="008E7AA2"/>
    <w:rsid w:val="008F026B"/>
    <w:rsid w:val="008F04E3"/>
    <w:rsid w:val="008F19CD"/>
    <w:rsid w:val="008F2993"/>
    <w:rsid w:val="008F2AB2"/>
    <w:rsid w:val="008F3611"/>
    <w:rsid w:val="008F4010"/>
    <w:rsid w:val="008F43C3"/>
    <w:rsid w:val="008F4B86"/>
    <w:rsid w:val="008F5ED6"/>
    <w:rsid w:val="008F6D4C"/>
    <w:rsid w:val="008F7AD6"/>
    <w:rsid w:val="008F7DDA"/>
    <w:rsid w:val="00900BCF"/>
    <w:rsid w:val="00902C70"/>
    <w:rsid w:val="00902D54"/>
    <w:rsid w:val="00903206"/>
    <w:rsid w:val="00903C10"/>
    <w:rsid w:val="00904A4C"/>
    <w:rsid w:val="00906732"/>
    <w:rsid w:val="0090711E"/>
    <w:rsid w:val="0091018A"/>
    <w:rsid w:val="0091079D"/>
    <w:rsid w:val="0091266F"/>
    <w:rsid w:val="009133AB"/>
    <w:rsid w:val="009140B1"/>
    <w:rsid w:val="00914802"/>
    <w:rsid w:val="00915552"/>
    <w:rsid w:val="00917001"/>
    <w:rsid w:val="0091716A"/>
    <w:rsid w:val="00917FD8"/>
    <w:rsid w:val="00920E69"/>
    <w:rsid w:val="0092111F"/>
    <w:rsid w:val="009212F6"/>
    <w:rsid w:val="00922072"/>
    <w:rsid w:val="00923B45"/>
    <w:rsid w:val="00924E8B"/>
    <w:rsid w:val="00924F96"/>
    <w:rsid w:val="00926DBF"/>
    <w:rsid w:val="00927D5D"/>
    <w:rsid w:val="00934202"/>
    <w:rsid w:val="00934B8C"/>
    <w:rsid w:val="00934D56"/>
    <w:rsid w:val="009351CF"/>
    <w:rsid w:val="00935B29"/>
    <w:rsid w:val="00935F53"/>
    <w:rsid w:val="009362E1"/>
    <w:rsid w:val="00936710"/>
    <w:rsid w:val="009377C2"/>
    <w:rsid w:val="009378D9"/>
    <w:rsid w:val="009409AA"/>
    <w:rsid w:val="00940C84"/>
    <w:rsid w:val="00941636"/>
    <w:rsid w:val="00941A5B"/>
    <w:rsid w:val="00941C48"/>
    <w:rsid w:val="009422B2"/>
    <w:rsid w:val="00942B63"/>
    <w:rsid w:val="00943DDD"/>
    <w:rsid w:val="00944DD5"/>
    <w:rsid w:val="00945085"/>
    <w:rsid w:val="0094595B"/>
    <w:rsid w:val="00946B83"/>
    <w:rsid w:val="00950006"/>
    <w:rsid w:val="00951767"/>
    <w:rsid w:val="0095248E"/>
    <w:rsid w:val="00952F05"/>
    <w:rsid w:val="00953587"/>
    <w:rsid w:val="00953B3F"/>
    <w:rsid w:val="009554C7"/>
    <w:rsid w:val="00955790"/>
    <w:rsid w:val="00955811"/>
    <w:rsid w:val="00955DE8"/>
    <w:rsid w:val="0095625A"/>
    <w:rsid w:val="0095777B"/>
    <w:rsid w:val="00957789"/>
    <w:rsid w:val="00960A7C"/>
    <w:rsid w:val="009617FC"/>
    <w:rsid w:val="00961ACD"/>
    <w:rsid w:val="00961B33"/>
    <w:rsid w:val="0096248C"/>
    <w:rsid w:val="00962853"/>
    <w:rsid w:val="00963214"/>
    <w:rsid w:val="009638F5"/>
    <w:rsid w:val="00964C6C"/>
    <w:rsid w:val="00965057"/>
    <w:rsid w:val="0096516D"/>
    <w:rsid w:val="00965322"/>
    <w:rsid w:val="00965567"/>
    <w:rsid w:val="009655BC"/>
    <w:rsid w:val="00965772"/>
    <w:rsid w:val="00967425"/>
    <w:rsid w:val="009677AF"/>
    <w:rsid w:val="0097031E"/>
    <w:rsid w:val="00970982"/>
    <w:rsid w:val="00971759"/>
    <w:rsid w:val="00972DC0"/>
    <w:rsid w:val="00973033"/>
    <w:rsid w:val="00973BE8"/>
    <w:rsid w:val="009745E5"/>
    <w:rsid w:val="0097491C"/>
    <w:rsid w:val="00974BAA"/>
    <w:rsid w:val="009758B0"/>
    <w:rsid w:val="00976BE1"/>
    <w:rsid w:val="00977D1A"/>
    <w:rsid w:val="009827C5"/>
    <w:rsid w:val="00985459"/>
    <w:rsid w:val="0098563A"/>
    <w:rsid w:val="009856EE"/>
    <w:rsid w:val="00987DF4"/>
    <w:rsid w:val="009901F4"/>
    <w:rsid w:val="00991739"/>
    <w:rsid w:val="00992769"/>
    <w:rsid w:val="0099299C"/>
    <w:rsid w:val="00992CB6"/>
    <w:rsid w:val="00992E33"/>
    <w:rsid w:val="0099477E"/>
    <w:rsid w:val="0099523A"/>
    <w:rsid w:val="00995298"/>
    <w:rsid w:val="0099550C"/>
    <w:rsid w:val="00996F30"/>
    <w:rsid w:val="009979C3"/>
    <w:rsid w:val="009A090E"/>
    <w:rsid w:val="009A17CE"/>
    <w:rsid w:val="009A4D24"/>
    <w:rsid w:val="009A5CA2"/>
    <w:rsid w:val="009A679A"/>
    <w:rsid w:val="009A69CF"/>
    <w:rsid w:val="009A7AB9"/>
    <w:rsid w:val="009B1AFB"/>
    <w:rsid w:val="009B45B5"/>
    <w:rsid w:val="009B63B9"/>
    <w:rsid w:val="009B6565"/>
    <w:rsid w:val="009B6CD1"/>
    <w:rsid w:val="009B6E7B"/>
    <w:rsid w:val="009B78A2"/>
    <w:rsid w:val="009C0CE8"/>
    <w:rsid w:val="009C1630"/>
    <w:rsid w:val="009C24AB"/>
    <w:rsid w:val="009C2946"/>
    <w:rsid w:val="009C325E"/>
    <w:rsid w:val="009C4387"/>
    <w:rsid w:val="009C4858"/>
    <w:rsid w:val="009C5FB3"/>
    <w:rsid w:val="009C6987"/>
    <w:rsid w:val="009C6D67"/>
    <w:rsid w:val="009C6FFA"/>
    <w:rsid w:val="009C7E6B"/>
    <w:rsid w:val="009C7E73"/>
    <w:rsid w:val="009D227A"/>
    <w:rsid w:val="009D29CA"/>
    <w:rsid w:val="009D2CB9"/>
    <w:rsid w:val="009D3079"/>
    <w:rsid w:val="009D35A2"/>
    <w:rsid w:val="009D3918"/>
    <w:rsid w:val="009D5309"/>
    <w:rsid w:val="009D54E6"/>
    <w:rsid w:val="009D562D"/>
    <w:rsid w:val="009D6244"/>
    <w:rsid w:val="009D672E"/>
    <w:rsid w:val="009D6A5D"/>
    <w:rsid w:val="009D7332"/>
    <w:rsid w:val="009D7CA3"/>
    <w:rsid w:val="009E0A6D"/>
    <w:rsid w:val="009E15B6"/>
    <w:rsid w:val="009E1809"/>
    <w:rsid w:val="009E1A22"/>
    <w:rsid w:val="009E27DC"/>
    <w:rsid w:val="009E29CA"/>
    <w:rsid w:val="009E3FF3"/>
    <w:rsid w:val="009E4E7D"/>
    <w:rsid w:val="009E4FA4"/>
    <w:rsid w:val="009E5168"/>
    <w:rsid w:val="009E66A3"/>
    <w:rsid w:val="009E6C13"/>
    <w:rsid w:val="009E7AC4"/>
    <w:rsid w:val="009F0043"/>
    <w:rsid w:val="009F0821"/>
    <w:rsid w:val="009F210E"/>
    <w:rsid w:val="009F24CC"/>
    <w:rsid w:val="009F26C6"/>
    <w:rsid w:val="009F368F"/>
    <w:rsid w:val="009F5D8F"/>
    <w:rsid w:val="00A00820"/>
    <w:rsid w:val="00A011E8"/>
    <w:rsid w:val="00A014CE"/>
    <w:rsid w:val="00A03DC1"/>
    <w:rsid w:val="00A05513"/>
    <w:rsid w:val="00A0571F"/>
    <w:rsid w:val="00A05EF8"/>
    <w:rsid w:val="00A07A64"/>
    <w:rsid w:val="00A11B19"/>
    <w:rsid w:val="00A121F6"/>
    <w:rsid w:val="00A13CF9"/>
    <w:rsid w:val="00A13ED1"/>
    <w:rsid w:val="00A1417B"/>
    <w:rsid w:val="00A14E79"/>
    <w:rsid w:val="00A1523C"/>
    <w:rsid w:val="00A17911"/>
    <w:rsid w:val="00A214F2"/>
    <w:rsid w:val="00A2199E"/>
    <w:rsid w:val="00A2252B"/>
    <w:rsid w:val="00A242A9"/>
    <w:rsid w:val="00A244A2"/>
    <w:rsid w:val="00A253E5"/>
    <w:rsid w:val="00A253EA"/>
    <w:rsid w:val="00A26467"/>
    <w:rsid w:val="00A26D9C"/>
    <w:rsid w:val="00A27BA1"/>
    <w:rsid w:val="00A305D6"/>
    <w:rsid w:val="00A3125B"/>
    <w:rsid w:val="00A328DE"/>
    <w:rsid w:val="00A32BED"/>
    <w:rsid w:val="00A338F6"/>
    <w:rsid w:val="00A33D0B"/>
    <w:rsid w:val="00A35651"/>
    <w:rsid w:val="00A35B1F"/>
    <w:rsid w:val="00A35E3B"/>
    <w:rsid w:val="00A361A1"/>
    <w:rsid w:val="00A363AF"/>
    <w:rsid w:val="00A37C3B"/>
    <w:rsid w:val="00A37F56"/>
    <w:rsid w:val="00A40B48"/>
    <w:rsid w:val="00A40D62"/>
    <w:rsid w:val="00A41271"/>
    <w:rsid w:val="00A412E0"/>
    <w:rsid w:val="00A41A55"/>
    <w:rsid w:val="00A41DDE"/>
    <w:rsid w:val="00A42480"/>
    <w:rsid w:val="00A436E8"/>
    <w:rsid w:val="00A439C8"/>
    <w:rsid w:val="00A44E21"/>
    <w:rsid w:val="00A469FE"/>
    <w:rsid w:val="00A46CF7"/>
    <w:rsid w:val="00A4779F"/>
    <w:rsid w:val="00A47984"/>
    <w:rsid w:val="00A479F9"/>
    <w:rsid w:val="00A47CBC"/>
    <w:rsid w:val="00A5200C"/>
    <w:rsid w:val="00A52982"/>
    <w:rsid w:val="00A529B0"/>
    <w:rsid w:val="00A5350F"/>
    <w:rsid w:val="00A53800"/>
    <w:rsid w:val="00A54612"/>
    <w:rsid w:val="00A55E79"/>
    <w:rsid w:val="00A577BC"/>
    <w:rsid w:val="00A60742"/>
    <w:rsid w:val="00A60A47"/>
    <w:rsid w:val="00A6350B"/>
    <w:rsid w:val="00A63D9E"/>
    <w:rsid w:val="00A63FC7"/>
    <w:rsid w:val="00A64111"/>
    <w:rsid w:val="00A64226"/>
    <w:rsid w:val="00A64CEA"/>
    <w:rsid w:val="00A64F02"/>
    <w:rsid w:val="00A6691D"/>
    <w:rsid w:val="00A66A53"/>
    <w:rsid w:val="00A678ED"/>
    <w:rsid w:val="00A67FC4"/>
    <w:rsid w:val="00A72256"/>
    <w:rsid w:val="00A72412"/>
    <w:rsid w:val="00A73525"/>
    <w:rsid w:val="00A74D16"/>
    <w:rsid w:val="00A75A31"/>
    <w:rsid w:val="00A762A6"/>
    <w:rsid w:val="00A76D50"/>
    <w:rsid w:val="00A76D7F"/>
    <w:rsid w:val="00A80238"/>
    <w:rsid w:val="00A80426"/>
    <w:rsid w:val="00A80CAF"/>
    <w:rsid w:val="00A8153C"/>
    <w:rsid w:val="00A816F7"/>
    <w:rsid w:val="00A8170F"/>
    <w:rsid w:val="00A8191E"/>
    <w:rsid w:val="00A819B9"/>
    <w:rsid w:val="00A82846"/>
    <w:rsid w:val="00A82F16"/>
    <w:rsid w:val="00A83B1F"/>
    <w:rsid w:val="00A83C6C"/>
    <w:rsid w:val="00A83EC9"/>
    <w:rsid w:val="00A84A95"/>
    <w:rsid w:val="00A84CA4"/>
    <w:rsid w:val="00A8570E"/>
    <w:rsid w:val="00A85BC5"/>
    <w:rsid w:val="00A8611C"/>
    <w:rsid w:val="00A86312"/>
    <w:rsid w:val="00A86983"/>
    <w:rsid w:val="00A87BEB"/>
    <w:rsid w:val="00A90340"/>
    <w:rsid w:val="00A90C2E"/>
    <w:rsid w:val="00A90FD4"/>
    <w:rsid w:val="00A920F9"/>
    <w:rsid w:val="00A924E6"/>
    <w:rsid w:val="00A92797"/>
    <w:rsid w:val="00A92FED"/>
    <w:rsid w:val="00A933B2"/>
    <w:rsid w:val="00A94C7E"/>
    <w:rsid w:val="00A95A3A"/>
    <w:rsid w:val="00A9620C"/>
    <w:rsid w:val="00A964E2"/>
    <w:rsid w:val="00A96948"/>
    <w:rsid w:val="00A97E7A"/>
    <w:rsid w:val="00AA0ECE"/>
    <w:rsid w:val="00AA1289"/>
    <w:rsid w:val="00AA2525"/>
    <w:rsid w:val="00AA2713"/>
    <w:rsid w:val="00AA3149"/>
    <w:rsid w:val="00AA39DE"/>
    <w:rsid w:val="00AA4172"/>
    <w:rsid w:val="00AA4B61"/>
    <w:rsid w:val="00AA5427"/>
    <w:rsid w:val="00AA55FF"/>
    <w:rsid w:val="00AA57C2"/>
    <w:rsid w:val="00AA5AC5"/>
    <w:rsid w:val="00AA5CF1"/>
    <w:rsid w:val="00AA6209"/>
    <w:rsid w:val="00AA63C5"/>
    <w:rsid w:val="00AB0809"/>
    <w:rsid w:val="00AB1148"/>
    <w:rsid w:val="00AB19AB"/>
    <w:rsid w:val="00AB1EED"/>
    <w:rsid w:val="00AB1FFF"/>
    <w:rsid w:val="00AB2332"/>
    <w:rsid w:val="00AB2679"/>
    <w:rsid w:val="00AB39ED"/>
    <w:rsid w:val="00AB433B"/>
    <w:rsid w:val="00AB4423"/>
    <w:rsid w:val="00AB4F43"/>
    <w:rsid w:val="00AB5275"/>
    <w:rsid w:val="00AB622D"/>
    <w:rsid w:val="00AB6460"/>
    <w:rsid w:val="00AB680C"/>
    <w:rsid w:val="00AB6DC9"/>
    <w:rsid w:val="00AB7418"/>
    <w:rsid w:val="00AB74FB"/>
    <w:rsid w:val="00AC137A"/>
    <w:rsid w:val="00AC15DF"/>
    <w:rsid w:val="00AC1891"/>
    <w:rsid w:val="00AC1F9B"/>
    <w:rsid w:val="00AC3A02"/>
    <w:rsid w:val="00AC4E94"/>
    <w:rsid w:val="00AC5F71"/>
    <w:rsid w:val="00AC730B"/>
    <w:rsid w:val="00AC757F"/>
    <w:rsid w:val="00AC7E90"/>
    <w:rsid w:val="00AD02B6"/>
    <w:rsid w:val="00AD0679"/>
    <w:rsid w:val="00AD0793"/>
    <w:rsid w:val="00AD0ED3"/>
    <w:rsid w:val="00AD1F75"/>
    <w:rsid w:val="00AD3A19"/>
    <w:rsid w:val="00AD3BD4"/>
    <w:rsid w:val="00AD3EA3"/>
    <w:rsid w:val="00AD44AD"/>
    <w:rsid w:val="00AD5B9A"/>
    <w:rsid w:val="00AD5DBA"/>
    <w:rsid w:val="00AD5E6E"/>
    <w:rsid w:val="00AD60BC"/>
    <w:rsid w:val="00AD6EAF"/>
    <w:rsid w:val="00AD7013"/>
    <w:rsid w:val="00AD7F4C"/>
    <w:rsid w:val="00AE1481"/>
    <w:rsid w:val="00AE14FA"/>
    <w:rsid w:val="00AE1661"/>
    <w:rsid w:val="00AE22F1"/>
    <w:rsid w:val="00AE36B9"/>
    <w:rsid w:val="00AE394D"/>
    <w:rsid w:val="00AE582D"/>
    <w:rsid w:val="00AE5CEB"/>
    <w:rsid w:val="00AE6B61"/>
    <w:rsid w:val="00AE6CF0"/>
    <w:rsid w:val="00AE6D1E"/>
    <w:rsid w:val="00AE7623"/>
    <w:rsid w:val="00AF0227"/>
    <w:rsid w:val="00AF183E"/>
    <w:rsid w:val="00AF499C"/>
    <w:rsid w:val="00AF5E3F"/>
    <w:rsid w:val="00AF5F4B"/>
    <w:rsid w:val="00AF698B"/>
    <w:rsid w:val="00AF7AD1"/>
    <w:rsid w:val="00B00744"/>
    <w:rsid w:val="00B00768"/>
    <w:rsid w:val="00B013D8"/>
    <w:rsid w:val="00B025A7"/>
    <w:rsid w:val="00B03F88"/>
    <w:rsid w:val="00B049BA"/>
    <w:rsid w:val="00B05120"/>
    <w:rsid w:val="00B0526F"/>
    <w:rsid w:val="00B05557"/>
    <w:rsid w:val="00B05B41"/>
    <w:rsid w:val="00B06CE3"/>
    <w:rsid w:val="00B100CC"/>
    <w:rsid w:val="00B113DF"/>
    <w:rsid w:val="00B115FA"/>
    <w:rsid w:val="00B12272"/>
    <w:rsid w:val="00B12DB2"/>
    <w:rsid w:val="00B14E4E"/>
    <w:rsid w:val="00B15515"/>
    <w:rsid w:val="00B15DA9"/>
    <w:rsid w:val="00B16254"/>
    <w:rsid w:val="00B164FB"/>
    <w:rsid w:val="00B1687F"/>
    <w:rsid w:val="00B17FA8"/>
    <w:rsid w:val="00B20907"/>
    <w:rsid w:val="00B21B12"/>
    <w:rsid w:val="00B224E2"/>
    <w:rsid w:val="00B229EA"/>
    <w:rsid w:val="00B22E2B"/>
    <w:rsid w:val="00B23996"/>
    <w:rsid w:val="00B24878"/>
    <w:rsid w:val="00B24D99"/>
    <w:rsid w:val="00B25EAF"/>
    <w:rsid w:val="00B25FE9"/>
    <w:rsid w:val="00B32917"/>
    <w:rsid w:val="00B32E51"/>
    <w:rsid w:val="00B32EF4"/>
    <w:rsid w:val="00B33F9D"/>
    <w:rsid w:val="00B3401F"/>
    <w:rsid w:val="00B349DC"/>
    <w:rsid w:val="00B34D57"/>
    <w:rsid w:val="00B374D9"/>
    <w:rsid w:val="00B3783E"/>
    <w:rsid w:val="00B37A1D"/>
    <w:rsid w:val="00B40DBA"/>
    <w:rsid w:val="00B42666"/>
    <w:rsid w:val="00B43554"/>
    <w:rsid w:val="00B44284"/>
    <w:rsid w:val="00B446A1"/>
    <w:rsid w:val="00B446C3"/>
    <w:rsid w:val="00B4540F"/>
    <w:rsid w:val="00B45499"/>
    <w:rsid w:val="00B454A5"/>
    <w:rsid w:val="00B46C4D"/>
    <w:rsid w:val="00B46F79"/>
    <w:rsid w:val="00B4730B"/>
    <w:rsid w:val="00B479D6"/>
    <w:rsid w:val="00B479ED"/>
    <w:rsid w:val="00B50665"/>
    <w:rsid w:val="00B5142E"/>
    <w:rsid w:val="00B52383"/>
    <w:rsid w:val="00B532E6"/>
    <w:rsid w:val="00B5617E"/>
    <w:rsid w:val="00B57F2A"/>
    <w:rsid w:val="00B60860"/>
    <w:rsid w:val="00B60AAB"/>
    <w:rsid w:val="00B61374"/>
    <w:rsid w:val="00B6168F"/>
    <w:rsid w:val="00B6215C"/>
    <w:rsid w:val="00B62348"/>
    <w:rsid w:val="00B64BAB"/>
    <w:rsid w:val="00B656D9"/>
    <w:rsid w:val="00B65C4D"/>
    <w:rsid w:val="00B6701D"/>
    <w:rsid w:val="00B67B70"/>
    <w:rsid w:val="00B67EAF"/>
    <w:rsid w:val="00B71815"/>
    <w:rsid w:val="00B71FCE"/>
    <w:rsid w:val="00B72257"/>
    <w:rsid w:val="00B729BC"/>
    <w:rsid w:val="00B7451D"/>
    <w:rsid w:val="00B76E67"/>
    <w:rsid w:val="00B77A42"/>
    <w:rsid w:val="00B77EB9"/>
    <w:rsid w:val="00B77F8A"/>
    <w:rsid w:val="00B77FCA"/>
    <w:rsid w:val="00B802C1"/>
    <w:rsid w:val="00B80C17"/>
    <w:rsid w:val="00B80ED7"/>
    <w:rsid w:val="00B82FD6"/>
    <w:rsid w:val="00B8388C"/>
    <w:rsid w:val="00B83969"/>
    <w:rsid w:val="00B84F98"/>
    <w:rsid w:val="00B850F4"/>
    <w:rsid w:val="00B869CE"/>
    <w:rsid w:val="00B87050"/>
    <w:rsid w:val="00B90F16"/>
    <w:rsid w:val="00B92340"/>
    <w:rsid w:val="00B929B3"/>
    <w:rsid w:val="00B94B6C"/>
    <w:rsid w:val="00B94C20"/>
    <w:rsid w:val="00B951E8"/>
    <w:rsid w:val="00B95D49"/>
    <w:rsid w:val="00B963A9"/>
    <w:rsid w:val="00B965CB"/>
    <w:rsid w:val="00B97274"/>
    <w:rsid w:val="00B97337"/>
    <w:rsid w:val="00B97FA2"/>
    <w:rsid w:val="00BA0D92"/>
    <w:rsid w:val="00BA1A10"/>
    <w:rsid w:val="00BA456E"/>
    <w:rsid w:val="00BA4747"/>
    <w:rsid w:val="00BA4962"/>
    <w:rsid w:val="00BA5389"/>
    <w:rsid w:val="00BA544C"/>
    <w:rsid w:val="00BA5A3A"/>
    <w:rsid w:val="00BA6481"/>
    <w:rsid w:val="00BB0D66"/>
    <w:rsid w:val="00BB1076"/>
    <w:rsid w:val="00BB169C"/>
    <w:rsid w:val="00BB1C6C"/>
    <w:rsid w:val="00BB2745"/>
    <w:rsid w:val="00BB3A75"/>
    <w:rsid w:val="00BB48D9"/>
    <w:rsid w:val="00BB57BB"/>
    <w:rsid w:val="00BB64E2"/>
    <w:rsid w:val="00BB6BDF"/>
    <w:rsid w:val="00BB741F"/>
    <w:rsid w:val="00BB79F2"/>
    <w:rsid w:val="00BB7DA5"/>
    <w:rsid w:val="00BC09EB"/>
    <w:rsid w:val="00BC0E52"/>
    <w:rsid w:val="00BC1303"/>
    <w:rsid w:val="00BC1462"/>
    <w:rsid w:val="00BC1D01"/>
    <w:rsid w:val="00BC214E"/>
    <w:rsid w:val="00BC2CB7"/>
    <w:rsid w:val="00BC3571"/>
    <w:rsid w:val="00BC37A8"/>
    <w:rsid w:val="00BC4217"/>
    <w:rsid w:val="00BC462E"/>
    <w:rsid w:val="00BC49C6"/>
    <w:rsid w:val="00BC4A4E"/>
    <w:rsid w:val="00BC4B57"/>
    <w:rsid w:val="00BC7F18"/>
    <w:rsid w:val="00BD076F"/>
    <w:rsid w:val="00BD0B2D"/>
    <w:rsid w:val="00BD0F59"/>
    <w:rsid w:val="00BD1055"/>
    <w:rsid w:val="00BD1D94"/>
    <w:rsid w:val="00BD20B0"/>
    <w:rsid w:val="00BD26CC"/>
    <w:rsid w:val="00BD3C6F"/>
    <w:rsid w:val="00BD5449"/>
    <w:rsid w:val="00BD561F"/>
    <w:rsid w:val="00BD6DBD"/>
    <w:rsid w:val="00BE0E01"/>
    <w:rsid w:val="00BE5C32"/>
    <w:rsid w:val="00BE5DA3"/>
    <w:rsid w:val="00BE66B3"/>
    <w:rsid w:val="00BF01AF"/>
    <w:rsid w:val="00BF025E"/>
    <w:rsid w:val="00BF066B"/>
    <w:rsid w:val="00BF0B3B"/>
    <w:rsid w:val="00BF15AF"/>
    <w:rsid w:val="00BF2360"/>
    <w:rsid w:val="00BF42E5"/>
    <w:rsid w:val="00BF43B1"/>
    <w:rsid w:val="00BF4443"/>
    <w:rsid w:val="00BF5654"/>
    <w:rsid w:val="00BF7DE9"/>
    <w:rsid w:val="00C01589"/>
    <w:rsid w:val="00C0159F"/>
    <w:rsid w:val="00C020A4"/>
    <w:rsid w:val="00C0270E"/>
    <w:rsid w:val="00C028EE"/>
    <w:rsid w:val="00C02EE8"/>
    <w:rsid w:val="00C046C7"/>
    <w:rsid w:val="00C04B74"/>
    <w:rsid w:val="00C0509A"/>
    <w:rsid w:val="00C05D17"/>
    <w:rsid w:val="00C062CB"/>
    <w:rsid w:val="00C064C8"/>
    <w:rsid w:val="00C06C51"/>
    <w:rsid w:val="00C071BF"/>
    <w:rsid w:val="00C07738"/>
    <w:rsid w:val="00C07C61"/>
    <w:rsid w:val="00C10591"/>
    <w:rsid w:val="00C1099A"/>
    <w:rsid w:val="00C10BA4"/>
    <w:rsid w:val="00C10CDC"/>
    <w:rsid w:val="00C12464"/>
    <w:rsid w:val="00C14976"/>
    <w:rsid w:val="00C152AF"/>
    <w:rsid w:val="00C160EB"/>
    <w:rsid w:val="00C16DB3"/>
    <w:rsid w:val="00C170DE"/>
    <w:rsid w:val="00C17501"/>
    <w:rsid w:val="00C17ACF"/>
    <w:rsid w:val="00C20BE8"/>
    <w:rsid w:val="00C20C2C"/>
    <w:rsid w:val="00C21437"/>
    <w:rsid w:val="00C21A1B"/>
    <w:rsid w:val="00C21AF5"/>
    <w:rsid w:val="00C22139"/>
    <w:rsid w:val="00C22741"/>
    <w:rsid w:val="00C23181"/>
    <w:rsid w:val="00C235FD"/>
    <w:rsid w:val="00C239F7"/>
    <w:rsid w:val="00C242ED"/>
    <w:rsid w:val="00C245CA"/>
    <w:rsid w:val="00C2472C"/>
    <w:rsid w:val="00C24BC6"/>
    <w:rsid w:val="00C24C54"/>
    <w:rsid w:val="00C24ED2"/>
    <w:rsid w:val="00C25975"/>
    <w:rsid w:val="00C2695D"/>
    <w:rsid w:val="00C273B9"/>
    <w:rsid w:val="00C2741B"/>
    <w:rsid w:val="00C27DB4"/>
    <w:rsid w:val="00C31C23"/>
    <w:rsid w:val="00C3200C"/>
    <w:rsid w:val="00C32A91"/>
    <w:rsid w:val="00C32D07"/>
    <w:rsid w:val="00C33018"/>
    <w:rsid w:val="00C35571"/>
    <w:rsid w:val="00C355A1"/>
    <w:rsid w:val="00C36409"/>
    <w:rsid w:val="00C3678A"/>
    <w:rsid w:val="00C377D1"/>
    <w:rsid w:val="00C37FB2"/>
    <w:rsid w:val="00C40084"/>
    <w:rsid w:val="00C403DB"/>
    <w:rsid w:val="00C41F5A"/>
    <w:rsid w:val="00C41FD5"/>
    <w:rsid w:val="00C4214C"/>
    <w:rsid w:val="00C44214"/>
    <w:rsid w:val="00C44B87"/>
    <w:rsid w:val="00C450BE"/>
    <w:rsid w:val="00C4516D"/>
    <w:rsid w:val="00C45943"/>
    <w:rsid w:val="00C45C4A"/>
    <w:rsid w:val="00C45D54"/>
    <w:rsid w:val="00C45E68"/>
    <w:rsid w:val="00C47B3C"/>
    <w:rsid w:val="00C47BBC"/>
    <w:rsid w:val="00C47CBF"/>
    <w:rsid w:val="00C520C5"/>
    <w:rsid w:val="00C538A8"/>
    <w:rsid w:val="00C55478"/>
    <w:rsid w:val="00C55890"/>
    <w:rsid w:val="00C578EF"/>
    <w:rsid w:val="00C57B3B"/>
    <w:rsid w:val="00C57CB4"/>
    <w:rsid w:val="00C6100F"/>
    <w:rsid w:val="00C615BE"/>
    <w:rsid w:val="00C616A0"/>
    <w:rsid w:val="00C61DA7"/>
    <w:rsid w:val="00C62C39"/>
    <w:rsid w:val="00C64252"/>
    <w:rsid w:val="00C64F2F"/>
    <w:rsid w:val="00C6596E"/>
    <w:rsid w:val="00C659EC"/>
    <w:rsid w:val="00C65B7B"/>
    <w:rsid w:val="00C661DE"/>
    <w:rsid w:val="00C662FA"/>
    <w:rsid w:val="00C66868"/>
    <w:rsid w:val="00C67FF7"/>
    <w:rsid w:val="00C71F15"/>
    <w:rsid w:val="00C72AA6"/>
    <w:rsid w:val="00C73AA3"/>
    <w:rsid w:val="00C74948"/>
    <w:rsid w:val="00C75DC4"/>
    <w:rsid w:val="00C77094"/>
    <w:rsid w:val="00C779E2"/>
    <w:rsid w:val="00C77AD1"/>
    <w:rsid w:val="00C8084C"/>
    <w:rsid w:val="00C80B7B"/>
    <w:rsid w:val="00C80C16"/>
    <w:rsid w:val="00C80DE3"/>
    <w:rsid w:val="00C81811"/>
    <w:rsid w:val="00C81D31"/>
    <w:rsid w:val="00C822E2"/>
    <w:rsid w:val="00C82941"/>
    <w:rsid w:val="00C82A8C"/>
    <w:rsid w:val="00C82DE2"/>
    <w:rsid w:val="00C8327A"/>
    <w:rsid w:val="00C83290"/>
    <w:rsid w:val="00C832CB"/>
    <w:rsid w:val="00C833D7"/>
    <w:rsid w:val="00C838E6"/>
    <w:rsid w:val="00C83935"/>
    <w:rsid w:val="00C839AD"/>
    <w:rsid w:val="00C83DBC"/>
    <w:rsid w:val="00C84FB7"/>
    <w:rsid w:val="00C85634"/>
    <w:rsid w:val="00C85721"/>
    <w:rsid w:val="00C857FC"/>
    <w:rsid w:val="00C85966"/>
    <w:rsid w:val="00C860DF"/>
    <w:rsid w:val="00C86443"/>
    <w:rsid w:val="00C86B50"/>
    <w:rsid w:val="00C871A3"/>
    <w:rsid w:val="00C87CF6"/>
    <w:rsid w:val="00C90DAE"/>
    <w:rsid w:val="00C90FD9"/>
    <w:rsid w:val="00C9130C"/>
    <w:rsid w:val="00C920D0"/>
    <w:rsid w:val="00C930E2"/>
    <w:rsid w:val="00C93286"/>
    <w:rsid w:val="00C934FF"/>
    <w:rsid w:val="00C93970"/>
    <w:rsid w:val="00C9487A"/>
    <w:rsid w:val="00C94D79"/>
    <w:rsid w:val="00C9610F"/>
    <w:rsid w:val="00C97DDB"/>
    <w:rsid w:val="00C97F7F"/>
    <w:rsid w:val="00CA22EF"/>
    <w:rsid w:val="00CA2343"/>
    <w:rsid w:val="00CA25D7"/>
    <w:rsid w:val="00CA2FA9"/>
    <w:rsid w:val="00CA44D3"/>
    <w:rsid w:val="00CA4968"/>
    <w:rsid w:val="00CA5789"/>
    <w:rsid w:val="00CA6A60"/>
    <w:rsid w:val="00CA720F"/>
    <w:rsid w:val="00CB01A1"/>
    <w:rsid w:val="00CB130E"/>
    <w:rsid w:val="00CB14FB"/>
    <w:rsid w:val="00CB28F9"/>
    <w:rsid w:val="00CB3298"/>
    <w:rsid w:val="00CB4530"/>
    <w:rsid w:val="00CB4B62"/>
    <w:rsid w:val="00CB5FE3"/>
    <w:rsid w:val="00CB780B"/>
    <w:rsid w:val="00CC0061"/>
    <w:rsid w:val="00CC0412"/>
    <w:rsid w:val="00CC18AC"/>
    <w:rsid w:val="00CC1D88"/>
    <w:rsid w:val="00CC2012"/>
    <w:rsid w:val="00CC2A13"/>
    <w:rsid w:val="00CC3197"/>
    <w:rsid w:val="00CC3882"/>
    <w:rsid w:val="00CC3B80"/>
    <w:rsid w:val="00CC5441"/>
    <w:rsid w:val="00CC6159"/>
    <w:rsid w:val="00CC6405"/>
    <w:rsid w:val="00CD0941"/>
    <w:rsid w:val="00CD161E"/>
    <w:rsid w:val="00CD2560"/>
    <w:rsid w:val="00CD283E"/>
    <w:rsid w:val="00CD2B47"/>
    <w:rsid w:val="00CD30EC"/>
    <w:rsid w:val="00CD3CA9"/>
    <w:rsid w:val="00CD58B6"/>
    <w:rsid w:val="00CD69DD"/>
    <w:rsid w:val="00CD6F1C"/>
    <w:rsid w:val="00CD70CD"/>
    <w:rsid w:val="00CD729E"/>
    <w:rsid w:val="00CE0B71"/>
    <w:rsid w:val="00CE2018"/>
    <w:rsid w:val="00CE38C6"/>
    <w:rsid w:val="00CE3D10"/>
    <w:rsid w:val="00CE42EF"/>
    <w:rsid w:val="00CE43F4"/>
    <w:rsid w:val="00CE43FC"/>
    <w:rsid w:val="00CE522E"/>
    <w:rsid w:val="00CE5568"/>
    <w:rsid w:val="00CE5788"/>
    <w:rsid w:val="00CE5ADA"/>
    <w:rsid w:val="00CE5AEC"/>
    <w:rsid w:val="00CE70B2"/>
    <w:rsid w:val="00CE70F8"/>
    <w:rsid w:val="00CE75BC"/>
    <w:rsid w:val="00CE7A0D"/>
    <w:rsid w:val="00CE7B56"/>
    <w:rsid w:val="00CE7C4F"/>
    <w:rsid w:val="00CF24E4"/>
    <w:rsid w:val="00CF378D"/>
    <w:rsid w:val="00CF3DC5"/>
    <w:rsid w:val="00CF4047"/>
    <w:rsid w:val="00CF47BC"/>
    <w:rsid w:val="00CF6853"/>
    <w:rsid w:val="00CF715D"/>
    <w:rsid w:val="00CF7825"/>
    <w:rsid w:val="00CF7F98"/>
    <w:rsid w:val="00D00F6E"/>
    <w:rsid w:val="00D01079"/>
    <w:rsid w:val="00D01CB9"/>
    <w:rsid w:val="00D029E6"/>
    <w:rsid w:val="00D0359D"/>
    <w:rsid w:val="00D0437C"/>
    <w:rsid w:val="00D05CC5"/>
    <w:rsid w:val="00D07A44"/>
    <w:rsid w:val="00D10F0D"/>
    <w:rsid w:val="00D12F53"/>
    <w:rsid w:val="00D137F4"/>
    <w:rsid w:val="00D14964"/>
    <w:rsid w:val="00D152D3"/>
    <w:rsid w:val="00D15804"/>
    <w:rsid w:val="00D166C8"/>
    <w:rsid w:val="00D20DFE"/>
    <w:rsid w:val="00D210F1"/>
    <w:rsid w:val="00D21F32"/>
    <w:rsid w:val="00D23060"/>
    <w:rsid w:val="00D24ECC"/>
    <w:rsid w:val="00D279AC"/>
    <w:rsid w:val="00D32624"/>
    <w:rsid w:val="00D33747"/>
    <w:rsid w:val="00D33B67"/>
    <w:rsid w:val="00D343E3"/>
    <w:rsid w:val="00D34881"/>
    <w:rsid w:val="00D35808"/>
    <w:rsid w:val="00D35C73"/>
    <w:rsid w:val="00D36185"/>
    <w:rsid w:val="00D36688"/>
    <w:rsid w:val="00D37334"/>
    <w:rsid w:val="00D37670"/>
    <w:rsid w:val="00D41030"/>
    <w:rsid w:val="00D42DA0"/>
    <w:rsid w:val="00D434A1"/>
    <w:rsid w:val="00D43825"/>
    <w:rsid w:val="00D43F26"/>
    <w:rsid w:val="00D44F81"/>
    <w:rsid w:val="00D457F1"/>
    <w:rsid w:val="00D4603A"/>
    <w:rsid w:val="00D46280"/>
    <w:rsid w:val="00D5010F"/>
    <w:rsid w:val="00D51F46"/>
    <w:rsid w:val="00D5260F"/>
    <w:rsid w:val="00D53BB5"/>
    <w:rsid w:val="00D54E89"/>
    <w:rsid w:val="00D55229"/>
    <w:rsid w:val="00D5547D"/>
    <w:rsid w:val="00D55D72"/>
    <w:rsid w:val="00D578A7"/>
    <w:rsid w:val="00D60527"/>
    <w:rsid w:val="00D6176E"/>
    <w:rsid w:val="00D61A00"/>
    <w:rsid w:val="00D63EDE"/>
    <w:rsid w:val="00D65995"/>
    <w:rsid w:val="00D703CA"/>
    <w:rsid w:val="00D707A3"/>
    <w:rsid w:val="00D71583"/>
    <w:rsid w:val="00D7226E"/>
    <w:rsid w:val="00D724A8"/>
    <w:rsid w:val="00D73E38"/>
    <w:rsid w:val="00D74427"/>
    <w:rsid w:val="00D7492C"/>
    <w:rsid w:val="00D75681"/>
    <w:rsid w:val="00D77ABC"/>
    <w:rsid w:val="00D8032C"/>
    <w:rsid w:val="00D80B25"/>
    <w:rsid w:val="00D814A3"/>
    <w:rsid w:val="00D81BF4"/>
    <w:rsid w:val="00D8224A"/>
    <w:rsid w:val="00D838A7"/>
    <w:rsid w:val="00D86691"/>
    <w:rsid w:val="00D917FD"/>
    <w:rsid w:val="00D9212F"/>
    <w:rsid w:val="00D922E9"/>
    <w:rsid w:val="00D92852"/>
    <w:rsid w:val="00D931FE"/>
    <w:rsid w:val="00D932D3"/>
    <w:rsid w:val="00D93CCC"/>
    <w:rsid w:val="00D94BE9"/>
    <w:rsid w:val="00DA04FA"/>
    <w:rsid w:val="00DA1AA5"/>
    <w:rsid w:val="00DA1FFE"/>
    <w:rsid w:val="00DA2E3E"/>
    <w:rsid w:val="00DA405C"/>
    <w:rsid w:val="00DA5107"/>
    <w:rsid w:val="00DA6FD1"/>
    <w:rsid w:val="00DB025B"/>
    <w:rsid w:val="00DB0667"/>
    <w:rsid w:val="00DB12CC"/>
    <w:rsid w:val="00DB14D6"/>
    <w:rsid w:val="00DB3271"/>
    <w:rsid w:val="00DB526F"/>
    <w:rsid w:val="00DB6386"/>
    <w:rsid w:val="00DB6E51"/>
    <w:rsid w:val="00DC0BEB"/>
    <w:rsid w:val="00DC225D"/>
    <w:rsid w:val="00DC2555"/>
    <w:rsid w:val="00DC436F"/>
    <w:rsid w:val="00DC4396"/>
    <w:rsid w:val="00DC500B"/>
    <w:rsid w:val="00DC59CE"/>
    <w:rsid w:val="00DC5B45"/>
    <w:rsid w:val="00DC60E1"/>
    <w:rsid w:val="00DC66DA"/>
    <w:rsid w:val="00DC7876"/>
    <w:rsid w:val="00DC7D74"/>
    <w:rsid w:val="00DC7E8B"/>
    <w:rsid w:val="00DD0126"/>
    <w:rsid w:val="00DD0DB5"/>
    <w:rsid w:val="00DD10F7"/>
    <w:rsid w:val="00DD155C"/>
    <w:rsid w:val="00DD158D"/>
    <w:rsid w:val="00DD2939"/>
    <w:rsid w:val="00DD2B36"/>
    <w:rsid w:val="00DD3063"/>
    <w:rsid w:val="00DD38FA"/>
    <w:rsid w:val="00DD3DBC"/>
    <w:rsid w:val="00DD3E4B"/>
    <w:rsid w:val="00DD40A8"/>
    <w:rsid w:val="00DD45C6"/>
    <w:rsid w:val="00DD5380"/>
    <w:rsid w:val="00DD5B90"/>
    <w:rsid w:val="00DD62A9"/>
    <w:rsid w:val="00DD6EED"/>
    <w:rsid w:val="00DD7161"/>
    <w:rsid w:val="00DE01D7"/>
    <w:rsid w:val="00DE0AB3"/>
    <w:rsid w:val="00DE12ED"/>
    <w:rsid w:val="00DE213A"/>
    <w:rsid w:val="00DE34FE"/>
    <w:rsid w:val="00DE44DD"/>
    <w:rsid w:val="00DE4E40"/>
    <w:rsid w:val="00DE5C45"/>
    <w:rsid w:val="00DE61D6"/>
    <w:rsid w:val="00DE64CC"/>
    <w:rsid w:val="00DE66C6"/>
    <w:rsid w:val="00DE70BD"/>
    <w:rsid w:val="00DE71E6"/>
    <w:rsid w:val="00DE7B00"/>
    <w:rsid w:val="00DE7C05"/>
    <w:rsid w:val="00DF1119"/>
    <w:rsid w:val="00DF197C"/>
    <w:rsid w:val="00DF1C02"/>
    <w:rsid w:val="00DF1E05"/>
    <w:rsid w:val="00DF23BA"/>
    <w:rsid w:val="00DF33D8"/>
    <w:rsid w:val="00DF4782"/>
    <w:rsid w:val="00DF70D4"/>
    <w:rsid w:val="00DF798D"/>
    <w:rsid w:val="00E0059D"/>
    <w:rsid w:val="00E007A0"/>
    <w:rsid w:val="00E01461"/>
    <w:rsid w:val="00E01816"/>
    <w:rsid w:val="00E02B52"/>
    <w:rsid w:val="00E03260"/>
    <w:rsid w:val="00E05692"/>
    <w:rsid w:val="00E059EC"/>
    <w:rsid w:val="00E07909"/>
    <w:rsid w:val="00E1082D"/>
    <w:rsid w:val="00E109B5"/>
    <w:rsid w:val="00E11550"/>
    <w:rsid w:val="00E1347B"/>
    <w:rsid w:val="00E1409E"/>
    <w:rsid w:val="00E16609"/>
    <w:rsid w:val="00E16E1A"/>
    <w:rsid w:val="00E16EA2"/>
    <w:rsid w:val="00E205F2"/>
    <w:rsid w:val="00E209D5"/>
    <w:rsid w:val="00E21D4A"/>
    <w:rsid w:val="00E23437"/>
    <w:rsid w:val="00E23928"/>
    <w:rsid w:val="00E24372"/>
    <w:rsid w:val="00E24CE8"/>
    <w:rsid w:val="00E24F18"/>
    <w:rsid w:val="00E24F2E"/>
    <w:rsid w:val="00E25EBD"/>
    <w:rsid w:val="00E262C4"/>
    <w:rsid w:val="00E26C47"/>
    <w:rsid w:val="00E3127A"/>
    <w:rsid w:val="00E316BE"/>
    <w:rsid w:val="00E31ABA"/>
    <w:rsid w:val="00E329A9"/>
    <w:rsid w:val="00E345C7"/>
    <w:rsid w:val="00E405E6"/>
    <w:rsid w:val="00E42437"/>
    <w:rsid w:val="00E43DEA"/>
    <w:rsid w:val="00E44AE0"/>
    <w:rsid w:val="00E44E92"/>
    <w:rsid w:val="00E45154"/>
    <w:rsid w:val="00E4524E"/>
    <w:rsid w:val="00E45439"/>
    <w:rsid w:val="00E4580F"/>
    <w:rsid w:val="00E46C4A"/>
    <w:rsid w:val="00E50477"/>
    <w:rsid w:val="00E51470"/>
    <w:rsid w:val="00E5201E"/>
    <w:rsid w:val="00E524C1"/>
    <w:rsid w:val="00E53576"/>
    <w:rsid w:val="00E53ABE"/>
    <w:rsid w:val="00E54208"/>
    <w:rsid w:val="00E5452D"/>
    <w:rsid w:val="00E551EA"/>
    <w:rsid w:val="00E55936"/>
    <w:rsid w:val="00E55B85"/>
    <w:rsid w:val="00E56538"/>
    <w:rsid w:val="00E57336"/>
    <w:rsid w:val="00E5789F"/>
    <w:rsid w:val="00E57D9D"/>
    <w:rsid w:val="00E57E20"/>
    <w:rsid w:val="00E60373"/>
    <w:rsid w:val="00E60972"/>
    <w:rsid w:val="00E60ABC"/>
    <w:rsid w:val="00E612F1"/>
    <w:rsid w:val="00E6349A"/>
    <w:rsid w:val="00E64556"/>
    <w:rsid w:val="00E6462B"/>
    <w:rsid w:val="00E64C7B"/>
    <w:rsid w:val="00E64DF8"/>
    <w:rsid w:val="00E65299"/>
    <w:rsid w:val="00E659B1"/>
    <w:rsid w:val="00E668EC"/>
    <w:rsid w:val="00E6754F"/>
    <w:rsid w:val="00E67841"/>
    <w:rsid w:val="00E70293"/>
    <w:rsid w:val="00E70920"/>
    <w:rsid w:val="00E71A74"/>
    <w:rsid w:val="00E72500"/>
    <w:rsid w:val="00E73A22"/>
    <w:rsid w:val="00E741F4"/>
    <w:rsid w:val="00E7457A"/>
    <w:rsid w:val="00E7511E"/>
    <w:rsid w:val="00E75727"/>
    <w:rsid w:val="00E7574D"/>
    <w:rsid w:val="00E76A00"/>
    <w:rsid w:val="00E80B3D"/>
    <w:rsid w:val="00E80B80"/>
    <w:rsid w:val="00E814FE"/>
    <w:rsid w:val="00E81C91"/>
    <w:rsid w:val="00E834B6"/>
    <w:rsid w:val="00E83A22"/>
    <w:rsid w:val="00E8436B"/>
    <w:rsid w:val="00E85E2A"/>
    <w:rsid w:val="00E86211"/>
    <w:rsid w:val="00E862E9"/>
    <w:rsid w:val="00E9122B"/>
    <w:rsid w:val="00E91B4B"/>
    <w:rsid w:val="00E91E2B"/>
    <w:rsid w:val="00E92EC5"/>
    <w:rsid w:val="00E92F42"/>
    <w:rsid w:val="00E932D0"/>
    <w:rsid w:val="00E93E88"/>
    <w:rsid w:val="00E94C35"/>
    <w:rsid w:val="00E957BC"/>
    <w:rsid w:val="00E974C4"/>
    <w:rsid w:val="00E97CA2"/>
    <w:rsid w:val="00EA0931"/>
    <w:rsid w:val="00EA12C6"/>
    <w:rsid w:val="00EA1ED2"/>
    <w:rsid w:val="00EA2CA2"/>
    <w:rsid w:val="00EA5767"/>
    <w:rsid w:val="00EA617C"/>
    <w:rsid w:val="00EA6343"/>
    <w:rsid w:val="00EA6A60"/>
    <w:rsid w:val="00EA6E15"/>
    <w:rsid w:val="00EA7080"/>
    <w:rsid w:val="00EB0022"/>
    <w:rsid w:val="00EB1BDF"/>
    <w:rsid w:val="00EB221B"/>
    <w:rsid w:val="00EB2AA8"/>
    <w:rsid w:val="00EB3285"/>
    <w:rsid w:val="00EB4A55"/>
    <w:rsid w:val="00EB4B91"/>
    <w:rsid w:val="00EB4D21"/>
    <w:rsid w:val="00EB4DE2"/>
    <w:rsid w:val="00EB571E"/>
    <w:rsid w:val="00EB717C"/>
    <w:rsid w:val="00EB7BB9"/>
    <w:rsid w:val="00EB7CD1"/>
    <w:rsid w:val="00EB7FCE"/>
    <w:rsid w:val="00EC08EF"/>
    <w:rsid w:val="00EC14F2"/>
    <w:rsid w:val="00EC184C"/>
    <w:rsid w:val="00EC2325"/>
    <w:rsid w:val="00EC3A53"/>
    <w:rsid w:val="00EC42AF"/>
    <w:rsid w:val="00ED0A8A"/>
    <w:rsid w:val="00ED0DA8"/>
    <w:rsid w:val="00ED264E"/>
    <w:rsid w:val="00ED3A14"/>
    <w:rsid w:val="00ED3BA6"/>
    <w:rsid w:val="00ED3DC8"/>
    <w:rsid w:val="00ED466F"/>
    <w:rsid w:val="00ED5EA9"/>
    <w:rsid w:val="00ED64D4"/>
    <w:rsid w:val="00ED7431"/>
    <w:rsid w:val="00EE015B"/>
    <w:rsid w:val="00EE0AFE"/>
    <w:rsid w:val="00EE4716"/>
    <w:rsid w:val="00EE6254"/>
    <w:rsid w:val="00EE6A25"/>
    <w:rsid w:val="00EE745C"/>
    <w:rsid w:val="00EE7AAC"/>
    <w:rsid w:val="00EF0E02"/>
    <w:rsid w:val="00EF1503"/>
    <w:rsid w:val="00EF1830"/>
    <w:rsid w:val="00EF22B6"/>
    <w:rsid w:val="00EF283E"/>
    <w:rsid w:val="00EF2ECD"/>
    <w:rsid w:val="00EF3707"/>
    <w:rsid w:val="00EF4CC3"/>
    <w:rsid w:val="00EF51EA"/>
    <w:rsid w:val="00EF62B1"/>
    <w:rsid w:val="00EF72F6"/>
    <w:rsid w:val="00EF752B"/>
    <w:rsid w:val="00EF7FC4"/>
    <w:rsid w:val="00F0239A"/>
    <w:rsid w:val="00F0354A"/>
    <w:rsid w:val="00F04291"/>
    <w:rsid w:val="00F0562F"/>
    <w:rsid w:val="00F05EBC"/>
    <w:rsid w:val="00F06255"/>
    <w:rsid w:val="00F066C2"/>
    <w:rsid w:val="00F1122F"/>
    <w:rsid w:val="00F1194D"/>
    <w:rsid w:val="00F11AFE"/>
    <w:rsid w:val="00F126A4"/>
    <w:rsid w:val="00F127B8"/>
    <w:rsid w:val="00F127D5"/>
    <w:rsid w:val="00F12C9D"/>
    <w:rsid w:val="00F135A0"/>
    <w:rsid w:val="00F1479C"/>
    <w:rsid w:val="00F14D98"/>
    <w:rsid w:val="00F14EA6"/>
    <w:rsid w:val="00F15286"/>
    <w:rsid w:val="00F15C33"/>
    <w:rsid w:val="00F15CFD"/>
    <w:rsid w:val="00F17202"/>
    <w:rsid w:val="00F176DA"/>
    <w:rsid w:val="00F17710"/>
    <w:rsid w:val="00F17EC4"/>
    <w:rsid w:val="00F20152"/>
    <w:rsid w:val="00F20B0B"/>
    <w:rsid w:val="00F20EC3"/>
    <w:rsid w:val="00F22699"/>
    <w:rsid w:val="00F227D4"/>
    <w:rsid w:val="00F22A41"/>
    <w:rsid w:val="00F242B3"/>
    <w:rsid w:val="00F24401"/>
    <w:rsid w:val="00F24A12"/>
    <w:rsid w:val="00F2504C"/>
    <w:rsid w:val="00F25147"/>
    <w:rsid w:val="00F2550B"/>
    <w:rsid w:val="00F25CB1"/>
    <w:rsid w:val="00F25F5C"/>
    <w:rsid w:val="00F276F5"/>
    <w:rsid w:val="00F27E4C"/>
    <w:rsid w:val="00F3461A"/>
    <w:rsid w:val="00F35B9C"/>
    <w:rsid w:val="00F35DA2"/>
    <w:rsid w:val="00F35F56"/>
    <w:rsid w:val="00F35F8D"/>
    <w:rsid w:val="00F37985"/>
    <w:rsid w:val="00F402F2"/>
    <w:rsid w:val="00F419E7"/>
    <w:rsid w:val="00F42D48"/>
    <w:rsid w:val="00F42D5B"/>
    <w:rsid w:val="00F42ECC"/>
    <w:rsid w:val="00F43F5F"/>
    <w:rsid w:val="00F46331"/>
    <w:rsid w:val="00F464D5"/>
    <w:rsid w:val="00F476B3"/>
    <w:rsid w:val="00F5093C"/>
    <w:rsid w:val="00F5111B"/>
    <w:rsid w:val="00F51D20"/>
    <w:rsid w:val="00F534E5"/>
    <w:rsid w:val="00F55323"/>
    <w:rsid w:val="00F55730"/>
    <w:rsid w:val="00F5599B"/>
    <w:rsid w:val="00F56B62"/>
    <w:rsid w:val="00F56EFF"/>
    <w:rsid w:val="00F57945"/>
    <w:rsid w:val="00F57C54"/>
    <w:rsid w:val="00F60E7C"/>
    <w:rsid w:val="00F61464"/>
    <w:rsid w:val="00F61779"/>
    <w:rsid w:val="00F61C68"/>
    <w:rsid w:val="00F63DA2"/>
    <w:rsid w:val="00F64F6C"/>
    <w:rsid w:val="00F6659B"/>
    <w:rsid w:val="00F669AB"/>
    <w:rsid w:val="00F66D8A"/>
    <w:rsid w:val="00F66E01"/>
    <w:rsid w:val="00F6753F"/>
    <w:rsid w:val="00F67928"/>
    <w:rsid w:val="00F7004B"/>
    <w:rsid w:val="00F70838"/>
    <w:rsid w:val="00F714D6"/>
    <w:rsid w:val="00F726C3"/>
    <w:rsid w:val="00F72AD2"/>
    <w:rsid w:val="00F7417B"/>
    <w:rsid w:val="00F74805"/>
    <w:rsid w:val="00F75889"/>
    <w:rsid w:val="00F75B3C"/>
    <w:rsid w:val="00F76423"/>
    <w:rsid w:val="00F769DE"/>
    <w:rsid w:val="00F7732B"/>
    <w:rsid w:val="00F812BA"/>
    <w:rsid w:val="00F813C4"/>
    <w:rsid w:val="00F81C94"/>
    <w:rsid w:val="00F8315E"/>
    <w:rsid w:val="00F83BA5"/>
    <w:rsid w:val="00F841B8"/>
    <w:rsid w:val="00F85B5B"/>
    <w:rsid w:val="00F85E6D"/>
    <w:rsid w:val="00F86682"/>
    <w:rsid w:val="00F90A62"/>
    <w:rsid w:val="00F93504"/>
    <w:rsid w:val="00F937F5"/>
    <w:rsid w:val="00F95852"/>
    <w:rsid w:val="00F97B2C"/>
    <w:rsid w:val="00FA0203"/>
    <w:rsid w:val="00FA0255"/>
    <w:rsid w:val="00FA1439"/>
    <w:rsid w:val="00FA1A2C"/>
    <w:rsid w:val="00FA1EC8"/>
    <w:rsid w:val="00FA240B"/>
    <w:rsid w:val="00FA265F"/>
    <w:rsid w:val="00FA2A12"/>
    <w:rsid w:val="00FA2F1C"/>
    <w:rsid w:val="00FA3561"/>
    <w:rsid w:val="00FA390B"/>
    <w:rsid w:val="00FA3B06"/>
    <w:rsid w:val="00FA3D89"/>
    <w:rsid w:val="00FA4749"/>
    <w:rsid w:val="00FA57F7"/>
    <w:rsid w:val="00FA6823"/>
    <w:rsid w:val="00FA6824"/>
    <w:rsid w:val="00FA6A5C"/>
    <w:rsid w:val="00FA7A14"/>
    <w:rsid w:val="00FB0125"/>
    <w:rsid w:val="00FB0149"/>
    <w:rsid w:val="00FB42E5"/>
    <w:rsid w:val="00FB4527"/>
    <w:rsid w:val="00FB4822"/>
    <w:rsid w:val="00FB4FED"/>
    <w:rsid w:val="00FB5AC8"/>
    <w:rsid w:val="00FB6FEA"/>
    <w:rsid w:val="00FB728B"/>
    <w:rsid w:val="00FB73E0"/>
    <w:rsid w:val="00FB7870"/>
    <w:rsid w:val="00FC17B9"/>
    <w:rsid w:val="00FC3361"/>
    <w:rsid w:val="00FC42DF"/>
    <w:rsid w:val="00FC4A94"/>
    <w:rsid w:val="00FC6DD4"/>
    <w:rsid w:val="00FC6F3B"/>
    <w:rsid w:val="00FC7676"/>
    <w:rsid w:val="00FC7D0B"/>
    <w:rsid w:val="00FD0B27"/>
    <w:rsid w:val="00FD1D0B"/>
    <w:rsid w:val="00FD3D96"/>
    <w:rsid w:val="00FD4875"/>
    <w:rsid w:val="00FD4953"/>
    <w:rsid w:val="00FD4D3E"/>
    <w:rsid w:val="00FD7BBF"/>
    <w:rsid w:val="00FE0533"/>
    <w:rsid w:val="00FE150F"/>
    <w:rsid w:val="00FE17FB"/>
    <w:rsid w:val="00FE262F"/>
    <w:rsid w:val="00FE374F"/>
    <w:rsid w:val="00FE544D"/>
    <w:rsid w:val="00FE57FA"/>
    <w:rsid w:val="00FE6543"/>
    <w:rsid w:val="00FE67C9"/>
    <w:rsid w:val="00FE69AA"/>
    <w:rsid w:val="00FE796F"/>
    <w:rsid w:val="00FF0715"/>
    <w:rsid w:val="00FF1365"/>
    <w:rsid w:val="00FF2FB3"/>
    <w:rsid w:val="00FF376B"/>
    <w:rsid w:val="00FF43B5"/>
    <w:rsid w:val="00FF4A3C"/>
    <w:rsid w:val="00FF4CFA"/>
    <w:rsid w:val="00FF5697"/>
    <w:rsid w:val="00FF616B"/>
    <w:rsid w:val="00FF7B55"/>
  </w:rsids>
  <m:mathPr>
    <m:mathFont m:val="Cambria Math"/>
    <m:brkBin m:val="before"/>
    <m:brkBinSub m:val="--"/>
    <m:smallFrac/>
    <m:dispDef/>
    <m:lMargin m:val="0"/>
    <m:rMargin m:val="0"/>
    <m:defJc m:val="centerGroup"/>
    <m:wrapIndent m:val="1440"/>
    <m:intLim m:val="subSup"/>
    <m:naryLim m:val="undOvr"/>
  </m:mathPr>
  <w:attachedSchema w:val="urn:schemas-microsoft-com:office:smarttags"/>
  <w:attachedSchema w:val="urn:schemas:contact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lsdException w:name="heading 1" w:semiHidden="0" w:uiPriority="3"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al">
    <w:name w:val="Normal"/>
    <w:uiPriority w:val="6"/>
    <w:rsid w:val="0065702E"/>
    <w:pPr>
      <w:spacing w:after="200" w:line="300" w:lineRule="auto"/>
      <w:jc w:val="both"/>
    </w:pPr>
    <w:rPr>
      <w:rFonts w:ascii="Arial" w:hAnsi="Arial" w:cs="Open Sans"/>
      <w:sz w:val="20"/>
      <w:szCs w:val="20"/>
      <w:lang w:val="en-GB"/>
    </w:rPr>
  </w:style>
  <w:style w:type="paragraph" w:styleId="Heading1">
    <w:name w:val="heading 1"/>
    <w:basedOn w:val="Normal"/>
    <w:next w:val="Normal"/>
    <w:link w:val="Heading1Char"/>
    <w:uiPriority w:val="3"/>
    <w:qFormat/>
    <w:rsid w:val="00F85B5B"/>
    <w:pPr>
      <w:keepNext/>
      <w:keepLines/>
      <w:spacing w:before="480" w:after="120"/>
      <w:outlineLvl w:val="0"/>
    </w:pPr>
    <w:rPr>
      <w:rFonts w:ascii="Aller" w:eastAsiaTheme="majorEastAsia" w:hAnsi="Aller" w:cstheme="majorBidi"/>
      <w:b/>
      <w:bCs/>
      <w:color w:val="005A96"/>
      <w:sz w:val="32"/>
      <w:szCs w:val="28"/>
    </w:rPr>
  </w:style>
  <w:style w:type="paragraph" w:styleId="Heading2">
    <w:name w:val="heading 2"/>
    <w:basedOn w:val="Normal"/>
    <w:next w:val="Normal"/>
    <w:link w:val="Heading2Char"/>
    <w:uiPriority w:val="4"/>
    <w:qFormat/>
    <w:locked/>
    <w:rsid w:val="00B224E2"/>
    <w:pPr>
      <w:keepNext/>
      <w:keepLines/>
      <w:spacing w:before="200" w:after="120"/>
      <w:outlineLvl w:val="1"/>
    </w:pPr>
    <w:rPr>
      <w:rFonts w:ascii="Aller" w:eastAsiaTheme="majorEastAsia" w:hAnsi="Aller" w:cstheme="majorBidi"/>
      <w:b/>
      <w:bCs/>
      <w:color w:val="7F7F7F" w:themeColor="text1" w:themeTint="80"/>
      <w:sz w:val="26"/>
      <w:szCs w:val="26"/>
    </w:rPr>
  </w:style>
  <w:style w:type="paragraph" w:styleId="Heading3">
    <w:name w:val="heading 3"/>
    <w:basedOn w:val="Normal"/>
    <w:next w:val="Normal"/>
    <w:link w:val="Heading3Char"/>
    <w:uiPriority w:val="5"/>
    <w:qFormat/>
    <w:rsid w:val="00A05513"/>
    <w:pPr>
      <w:keepNext/>
      <w:keepLines/>
      <w:spacing w:before="200" w:after="120"/>
      <w:outlineLvl w:val="2"/>
    </w:pPr>
    <w:rPr>
      <w:rFonts w:ascii="Aller" w:eastAsiaTheme="majorEastAsia" w:hAnsi="Aller" w:cstheme="majorBidi"/>
      <w:b/>
      <w:bCs/>
      <w:color w:val="4F81BD" w:themeColor="accent1"/>
      <w:szCs w:val="22"/>
    </w:rPr>
  </w:style>
  <w:style w:type="paragraph" w:styleId="Heading4">
    <w:name w:val="heading 4"/>
    <w:basedOn w:val="Normal"/>
    <w:next w:val="Normal"/>
    <w:link w:val="Heading4Char"/>
    <w:uiPriority w:val="6"/>
    <w:qFormat/>
    <w:rsid w:val="00863F5E"/>
    <w:pPr>
      <w:spacing w:before="240" w:after="60"/>
      <w:outlineLvl w:val="3"/>
    </w:pPr>
    <w:rPr>
      <w:b/>
      <w:bCs/>
    </w:rPr>
  </w:style>
  <w:style w:type="paragraph" w:styleId="Heading5">
    <w:name w:val="heading 5"/>
    <w:basedOn w:val="Normal"/>
    <w:next w:val="Normal"/>
    <w:link w:val="Heading5Char"/>
    <w:uiPriority w:val="99"/>
    <w:qFormat/>
    <w:rsid w:val="005C3278"/>
    <w:pPr>
      <w:numPr>
        <w:ilvl w:val="4"/>
        <w:numId w:val="1"/>
      </w:numPr>
      <w:spacing w:before="240" w:after="60"/>
      <w:outlineLvl w:val="4"/>
    </w:pPr>
    <w:rPr>
      <w:b/>
      <w:bCs/>
      <w:i/>
      <w:iCs/>
      <w:sz w:val="26"/>
      <w:szCs w:val="26"/>
      <w:lang w:eastAsia="de-DE"/>
    </w:rPr>
  </w:style>
  <w:style w:type="paragraph" w:styleId="Heading6">
    <w:name w:val="heading 6"/>
    <w:basedOn w:val="Normal"/>
    <w:next w:val="Normal"/>
    <w:link w:val="Heading6Char"/>
    <w:uiPriority w:val="99"/>
    <w:qFormat/>
    <w:rsid w:val="005C3278"/>
    <w:pPr>
      <w:numPr>
        <w:ilvl w:val="5"/>
        <w:numId w:val="1"/>
      </w:numPr>
      <w:spacing w:before="240" w:after="60"/>
      <w:outlineLvl w:val="5"/>
    </w:pPr>
    <w:rPr>
      <w:b/>
      <w:bCs/>
      <w:szCs w:val="22"/>
      <w:lang w:eastAsia="de-DE"/>
    </w:rPr>
  </w:style>
  <w:style w:type="paragraph" w:styleId="Heading7">
    <w:name w:val="heading 7"/>
    <w:basedOn w:val="Normal"/>
    <w:next w:val="Normal"/>
    <w:link w:val="Heading7Char"/>
    <w:uiPriority w:val="99"/>
    <w:qFormat/>
    <w:rsid w:val="005C3278"/>
    <w:pPr>
      <w:numPr>
        <w:ilvl w:val="6"/>
        <w:numId w:val="1"/>
      </w:numPr>
      <w:spacing w:before="240" w:after="60"/>
      <w:outlineLvl w:val="6"/>
    </w:pPr>
    <w:rPr>
      <w:lang w:eastAsia="de-DE"/>
    </w:rPr>
  </w:style>
  <w:style w:type="paragraph" w:styleId="Heading8">
    <w:name w:val="heading 8"/>
    <w:basedOn w:val="Normal"/>
    <w:next w:val="Normal"/>
    <w:link w:val="Heading8Char"/>
    <w:uiPriority w:val="99"/>
    <w:qFormat/>
    <w:rsid w:val="005C3278"/>
    <w:pPr>
      <w:numPr>
        <w:ilvl w:val="7"/>
        <w:numId w:val="1"/>
      </w:numPr>
      <w:spacing w:before="240" w:after="60"/>
      <w:outlineLvl w:val="7"/>
    </w:pPr>
    <w:rPr>
      <w:i/>
      <w:iCs/>
      <w:lang w:eastAsia="de-DE"/>
    </w:rPr>
  </w:style>
  <w:style w:type="paragraph" w:styleId="Heading9">
    <w:name w:val="heading 9"/>
    <w:basedOn w:val="Normal"/>
    <w:next w:val="Normal"/>
    <w:link w:val="Heading9Char"/>
    <w:uiPriority w:val="99"/>
    <w:qFormat/>
    <w:rsid w:val="005C3278"/>
    <w:pPr>
      <w:numPr>
        <w:ilvl w:val="8"/>
        <w:numId w:val="1"/>
      </w:numPr>
      <w:spacing w:before="240" w:after="60"/>
      <w:outlineLvl w:val="8"/>
    </w:pPr>
    <w:rPr>
      <w:rFonts w:cs="Arial"/>
      <w:szCs w:val="22"/>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locked/>
    <w:rsid w:val="00A05513"/>
    <w:rPr>
      <w:rFonts w:ascii="Aller" w:eastAsiaTheme="majorEastAsia" w:hAnsi="Aller" w:cstheme="majorBidi"/>
      <w:b/>
      <w:bCs/>
      <w:color w:val="005A96"/>
      <w:sz w:val="32"/>
      <w:szCs w:val="28"/>
      <w:lang w:val="en-GB"/>
    </w:rPr>
  </w:style>
  <w:style w:type="character" w:customStyle="1" w:styleId="Heading3Char">
    <w:name w:val="Heading 3 Char"/>
    <w:basedOn w:val="DefaultParagraphFont"/>
    <w:link w:val="Heading3"/>
    <w:uiPriority w:val="5"/>
    <w:locked/>
    <w:rsid w:val="00A05513"/>
    <w:rPr>
      <w:rFonts w:ascii="Aller" w:eastAsiaTheme="majorEastAsia" w:hAnsi="Aller" w:cstheme="majorBidi"/>
      <w:b/>
      <w:bCs/>
      <w:color w:val="4F81BD" w:themeColor="accent1"/>
      <w:lang w:val="en-GB"/>
    </w:rPr>
  </w:style>
  <w:style w:type="character" w:customStyle="1" w:styleId="Heading4Char">
    <w:name w:val="Heading 4 Char"/>
    <w:basedOn w:val="DefaultParagraphFont"/>
    <w:link w:val="Heading4"/>
    <w:uiPriority w:val="6"/>
    <w:locked/>
    <w:rsid w:val="00A05513"/>
    <w:rPr>
      <w:rFonts w:ascii="Open Sans" w:hAnsi="Open Sans" w:cs="Open Sans"/>
      <w:b/>
      <w:bCs/>
      <w:sz w:val="20"/>
      <w:szCs w:val="20"/>
      <w:lang w:val="en-GB"/>
    </w:rPr>
  </w:style>
  <w:style w:type="character" w:customStyle="1" w:styleId="Heading5Char">
    <w:name w:val="Heading 5 Char"/>
    <w:basedOn w:val="DefaultParagraphFont"/>
    <w:link w:val="Heading5"/>
    <w:uiPriority w:val="99"/>
    <w:locked/>
    <w:rsid w:val="00304800"/>
    <w:rPr>
      <w:rFonts w:ascii="Arial" w:hAnsi="Arial" w:cs="Open Sans"/>
      <w:b/>
      <w:bCs/>
      <w:i/>
      <w:iCs/>
      <w:sz w:val="26"/>
      <w:szCs w:val="26"/>
      <w:lang w:val="en-GB" w:eastAsia="de-DE"/>
    </w:rPr>
  </w:style>
  <w:style w:type="character" w:customStyle="1" w:styleId="Heading6Char">
    <w:name w:val="Heading 6 Char"/>
    <w:basedOn w:val="DefaultParagraphFont"/>
    <w:link w:val="Heading6"/>
    <w:uiPriority w:val="99"/>
    <w:locked/>
    <w:rsid w:val="00304800"/>
    <w:rPr>
      <w:rFonts w:ascii="Arial" w:hAnsi="Arial" w:cs="Open Sans"/>
      <w:b/>
      <w:bCs/>
      <w:lang w:val="en-GB" w:eastAsia="de-DE"/>
    </w:rPr>
  </w:style>
  <w:style w:type="character" w:customStyle="1" w:styleId="Heading7Char">
    <w:name w:val="Heading 7 Char"/>
    <w:basedOn w:val="DefaultParagraphFont"/>
    <w:link w:val="Heading7"/>
    <w:uiPriority w:val="99"/>
    <w:locked/>
    <w:rsid w:val="00304800"/>
    <w:rPr>
      <w:rFonts w:ascii="Arial" w:hAnsi="Arial" w:cs="Open Sans"/>
      <w:szCs w:val="20"/>
      <w:lang w:val="en-GB" w:eastAsia="de-DE"/>
    </w:rPr>
  </w:style>
  <w:style w:type="character" w:customStyle="1" w:styleId="Heading8Char">
    <w:name w:val="Heading 8 Char"/>
    <w:basedOn w:val="DefaultParagraphFont"/>
    <w:link w:val="Heading8"/>
    <w:uiPriority w:val="99"/>
    <w:locked/>
    <w:rsid w:val="00304800"/>
    <w:rPr>
      <w:rFonts w:ascii="Arial" w:hAnsi="Arial" w:cs="Open Sans"/>
      <w:i/>
      <w:iCs/>
      <w:szCs w:val="20"/>
      <w:lang w:val="en-GB" w:eastAsia="de-DE"/>
    </w:rPr>
  </w:style>
  <w:style w:type="character" w:customStyle="1" w:styleId="Heading9Char">
    <w:name w:val="Heading 9 Char"/>
    <w:basedOn w:val="DefaultParagraphFont"/>
    <w:link w:val="Heading9"/>
    <w:uiPriority w:val="99"/>
    <w:locked/>
    <w:rsid w:val="00304800"/>
    <w:rPr>
      <w:rFonts w:ascii="Arial" w:hAnsi="Arial" w:cs="Arial"/>
      <w:lang w:val="en-GB" w:eastAsia="de-DE"/>
    </w:rPr>
  </w:style>
  <w:style w:type="paragraph" w:customStyle="1" w:styleId="StlusCmsor1Arial11ptFlkvrNincsalhzsBalrazrt">
    <w:name w:val="Stílus Címsor 1 + Arial 11 pt Félkövér Nincs aláhúzás Balra zárt"/>
    <w:basedOn w:val="Heading1"/>
    <w:uiPriority w:val="99"/>
    <w:rsid w:val="00F56B62"/>
    <w:pPr>
      <w:widowControl w:val="0"/>
      <w:spacing w:before="0" w:after="0"/>
    </w:pPr>
    <w:rPr>
      <w:rFonts w:cs="Times New Roman"/>
      <w:sz w:val="22"/>
      <w:szCs w:val="20"/>
      <w:lang w:val="fi-FI" w:eastAsia="it-IT"/>
    </w:rPr>
  </w:style>
  <w:style w:type="paragraph" w:customStyle="1" w:styleId="Stlus3">
    <w:name w:val="Stílus3"/>
    <w:basedOn w:val="Heading3"/>
    <w:uiPriority w:val="99"/>
    <w:rsid w:val="00F56B62"/>
    <w:pPr>
      <w:tabs>
        <w:tab w:val="left" w:pos="-1296"/>
        <w:tab w:val="left" w:pos="0"/>
        <w:tab w:val="num" w:pos="792"/>
        <w:tab w:val="left" w:pos="1296"/>
        <w:tab w:val="left" w:pos="2592"/>
        <w:tab w:val="left" w:pos="3888"/>
        <w:tab w:val="left" w:pos="5184"/>
        <w:tab w:val="left" w:pos="6480"/>
        <w:tab w:val="left" w:pos="7776"/>
        <w:tab w:val="left" w:pos="9072"/>
      </w:tabs>
      <w:suppressAutoHyphens/>
      <w:spacing w:before="120"/>
      <w:ind w:left="792" w:hanging="432"/>
      <w:jc w:val="center"/>
    </w:pPr>
    <w:rPr>
      <w:i/>
      <w:iCs/>
      <w:lang w:eastAsia="it-IT"/>
    </w:rPr>
  </w:style>
  <w:style w:type="paragraph" w:customStyle="1" w:styleId="Stlus5">
    <w:name w:val="Stílus5"/>
    <w:basedOn w:val="Title"/>
    <w:uiPriority w:val="99"/>
    <w:rsid w:val="00F56B62"/>
    <w:pPr>
      <w:spacing w:before="120" w:after="120"/>
      <w:jc w:val="left"/>
    </w:pPr>
    <w:rPr>
      <w:bCs/>
      <w:caps/>
      <w:sz w:val="22"/>
      <w:szCs w:val="22"/>
    </w:rPr>
  </w:style>
  <w:style w:type="paragraph" w:styleId="Title">
    <w:name w:val="Title"/>
    <w:basedOn w:val="Normal"/>
    <w:link w:val="TitleChar"/>
    <w:qFormat/>
    <w:rsid w:val="009C5FB3"/>
    <w:pPr>
      <w:spacing w:after="300" w:line="240" w:lineRule="auto"/>
      <w:contextualSpacing/>
      <w:jc w:val="right"/>
    </w:pPr>
    <w:rPr>
      <w:rFonts w:ascii="Aller" w:eastAsiaTheme="majorEastAsia" w:hAnsi="Aller" w:cstheme="majorBidi"/>
      <w:b/>
      <w:color w:val="005A96"/>
      <w:spacing w:val="5"/>
      <w:kern w:val="28"/>
      <w:sz w:val="56"/>
      <w:szCs w:val="52"/>
    </w:rPr>
  </w:style>
  <w:style w:type="character" w:customStyle="1" w:styleId="TitleChar">
    <w:name w:val="Title Char"/>
    <w:basedOn w:val="DefaultParagraphFont"/>
    <w:link w:val="Title"/>
    <w:locked/>
    <w:rsid w:val="00A05513"/>
    <w:rPr>
      <w:rFonts w:ascii="Aller" w:eastAsiaTheme="majorEastAsia" w:hAnsi="Aller" w:cstheme="majorBidi"/>
      <w:b/>
      <w:color w:val="005A96"/>
      <w:spacing w:val="5"/>
      <w:kern w:val="28"/>
      <w:sz w:val="56"/>
      <w:szCs w:val="52"/>
      <w:lang w:val="en-GB"/>
    </w:rPr>
  </w:style>
  <w:style w:type="paragraph" w:customStyle="1" w:styleId="StlusStlus5NemFlkvr">
    <w:name w:val="Stílus Stílus5 + Nem Félkövér"/>
    <w:basedOn w:val="Stlus5"/>
    <w:uiPriority w:val="99"/>
    <w:rsid w:val="00F56B62"/>
  </w:style>
  <w:style w:type="paragraph" w:styleId="Header">
    <w:name w:val="header"/>
    <w:basedOn w:val="Normal"/>
    <w:link w:val="HeaderChar"/>
    <w:uiPriority w:val="99"/>
    <w:rsid w:val="00BD20B0"/>
    <w:pPr>
      <w:tabs>
        <w:tab w:val="center" w:pos="4536"/>
        <w:tab w:val="right" w:pos="9072"/>
      </w:tabs>
    </w:pPr>
  </w:style>
  <w:style w:type="character" w:customStyle="1" w:styleId="HeaderChar">
    <w:name w:val="Header Char"/>
    <w:basedOn w:val="DefaultParagraphFont"/>
    <w:link w:val="Header"/>
    <w:uiPriority w:val="99"/>
    <w:locked/>
    <w:rsid w:val="00486A85"/>
    <w:rPr>
      <w:rFonts w:ascii="Open Sans" w:hAnsi="Open Sans" w:cs="Open Sans"/>
      <w:lang w:val="en-GB"/>
    </w:rPr>
  </w:style>
  <w:style w:type="paragraph" w:styleId="Footer">
    <w:name w:val="footer"/>
    <w:basedOn w:val="Normal"/>
    <w:link w:val="FooterChar"/>
    <w:uiPriority w:val="99"/>
    <w:rsid w:val="00BD20B0"/>
    <w:pPr>
      <w:tabs>
        <w:tab w:val="center" w:pos="4536"/>
        <w:tab w:val="right" w:pos="9072"/>
      </w:tabs>
    </w:pPr>
  </w:style>
  <w:style w:type="character" w:customStyle="1" w:styleId="FooterChar">
    <w:name w:val="Footer Char"/>
    <w:basedOn w:val="DefaultParagraphFont"/>
    <w:link w:val="Footer"/>
    <w:uiPriority w:val="99"/>
    <w:locked/>
    <w:rsid w:val="00486A85"/>
    <w:rPr>
      <w:rFonts w:ascii="Open Sans" w:hAnsi="Open Sans" w:cs="Open Sans"/>
      <w:lang w:val="en-GB"/>
    </w:rPr>
  </w:style>
  <w:style w:type="table" w:styleId="TableGrid">
    <w:name w:val="Table Grid"/>
    <w:basedOn w:val="TableNormal"/>
    <w:uiPriority w:val="59"/>
    <w:rsid w:val="00BD20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BD20B0"/>
    <w:rPr>
      <w:rFonts w:cs="Times New Roman"/>
    </w:rPr>
  </w:style>
  <w:style w:type="paragraph" w:styleId="TOC2">
    <w:name w:val="toc 2"/>
    <w:basedOn w:val="Normal"/>
    <w:next w:val="Normal"/>
    <w:autoRedefine/>
    <w:uiPriority w:val="39"/>
    <w:rsid w:val="00BE0E01"/>
    <w:pPr>
      <w:spacing w:before="240" w:after="0"/>
    </w:pPr>
    <w:rPr>
      <w:rFonts w:ascii="Calibri" w:hAnsi="Calibri"/>
      <w:b/>
      <w:bCs/>
    </w:rPr>
  </w:style>
  <w:style w:type="paragraph" w:styleId="TOC3">
    <w:name w:val="toc 3"/>
    <w:basedOn w:val="Normal"/>
    <w:next w:val="Normal"/>
    <w:autoRedefine/>
    <w:uiPriority w:val="39"/>
    <w:rsid w:val="00BE0E01"/>
    <w:pPr>
      <w:spacing w:after="0"/>
      <w:ind w:left="200"/>
    </w:pPr>
    <w:rPr>
      <w:rFonts w:ascii="Calibri" w:hAnsi="Calibri"/>
    </w:rPr>
  </w:style>
  <w:style w:type="character" w:styleId="Hyperlink">
    <w:name w:val="Hyperlink"/>
    <w:basedOn w:val="DefaultParagraphFont"/>
    <w:uiPriority w:val="99"/>
    <w:rsid w:val="00A529B0"/>
    <w:rPr>
      <w:rFonts w:cs="Times New Roman"/>
      <w:color w:val="0000FF"/>
      <w:u w:val="single"/>
    </w:rPr>
  </w:style>
  <w:style w:type="paragraph" w:styleId="List">
    <w:name w:val="List"/>
    <w:basedOn w:val="Normal"/>
    <w:uiPriority w:val="99"/>
    <w:rsid w:val="0046346A"/>
    <w:pPr>
      <w:ind w:left="283" w:hanging="283"/>
    </w:pPr>
  </w:style>
  <w:style w:type="paragraph" w:styleId="BalloonText">
    <w:name w:val="Balloon Text"/>
    <w:basedOn w:val="Normal"/>
    <w:link w:val="BalloonTextChar"/>
    <w:uiPriority w:val="99"/>
    <w:semiHidden/>
    <w:rsid w:val="00767FA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6A85"/>
    <w:rPr>
      <w:rFonts w:ascii="Tahoma" w:hAnsi="Tahoma" w:cs="Tahoma"/>
      <w:sz w:val="16"/>
      <w:szCs w:val="16"/>
      <w:lang w:val="en-GB"/>
    </w:rPr>
  </w:style>
  <w:style w:type="character" w:styleId="CommentReference">
    <w:name w:val="annotation reference"/>
    <w:basedOn w:val="DefaultParagraphFont"/>
    <w:uiPriority w:val="99"/>
    <w:semiHidden/>
    <w:rsid w:val="00767FA5"/>
    <w:rPr>
      <w:rFonts w:cs="Times New Roman"/>
      <w:sz w:val="16"/>
    </w:rPr>
  </w:style>
  <w:style w:type="paragraph" w:styleId="CommentText">
    <w:name w:val="annotation text"/>
    <w:basedOn w:val="Normal"/>
    <w:link w:val="CommentTextChar"/>
    <w:uiPriority w:val="99"/>
    <w:rsid w:val="00767FA5"/>
  </w:style>
  <w:style w:type="character" w:customStyle="1" w:styleId="CommentTextChar">
    <w:name w:val="Comment Text Char"/>
    <w:basedOn w:val="DefaultParagraphFont"/>
    <w:link w:val="CommentText"/>
    <w:uiPriority w:val="99"/>
    <w:locked/>
    <w:rsid w:val="00407A58"/>
    <w:rPr>
      <w:rFonts w:ascii="Open Sans" w:hAnsi="Open Sans" w:cs="Open Sans"/>
      <w:lang w:val="en-GB"/>
    </w:rPr>
  </w:style>
  <w:style w:type="paragraph" w:styleId="CommentSubject">
    <w:name w:val="annotation subject"/>
    <w:basedOn w:val="CommentText"/>
    <w:next w:val="CommentText"/>
    <w:link w:val="CommentSubjectChar"/>
    <w:uiPriority w:val="99"/>
    <w:semiHidden/>
    <w:rsid w:val="00767FA5"/>
    <w:rPr>
      <w:b/>
      <w:bCs/>
    </w:rPr>
  </w:style>
  <w:style w:type="character" w:customStyle="1" w:styleId="CommentSubjectChar">
    <w:name w:val="Comment Subject Char"/>
    <w:basedOn w:val="CommentTextChar"/>
    <w:link w:val="CommentSubject"/>
    <w:uiPriority w:val="99"/>
    <w:semiHidden/>
    <w:locked/>
    <w:rsid w:val="00486A85"/>
    <w:rPr>
      <w:rFonts w:ascii="Open Sans" w:hAnsi="Open Sans" w:cs="Open Sans"/>
      <w:b/>
      <w:bCs/>
      <w:lang w:val="en-GB"/>
    </w:rPr>
  </w:style>
  <w:style w:type="paragraph" w:styleId="FootnoteText">
    <w:name w:val="footnote text"/>
    <w:aliases w:val="Footnote,Char1 Char,Footnote Char1"/>
    <w:basedOn w:val="Normal"/>
    <w:link w:val="FootnoteTextChar"/>
    <w:uiPriority w:val="99"/>
    <w:rsid w:val="000848CA"/>
  </w:style>
  <w:style w:type="character" w:customStyle="1" w:styleId="FootnoteTextChar">
    <w:name w:val="Footnote Text Char"/>
    <w:aliases w:val="Footnote Char,Char1 Char Char,Footnote Char1 Char"/>
    <w:basedOn w:val="DefaultParagraphFont"/>
    <w:link w:val="FootnoteText"/>
    <w:uiPriority w:val="99"/>
    <w:locked/>
    <w:rsid w:val="00A76D7F"/>
    <w:rPr>
      <w:rFonts w:ascii="Open Sans" w:hAnsi="Open Sans" w:cs="Open Sans"/>
      <w:lang w:val="en-GB"/>
    </w:rPr>
  </w:style>
  <w:style w:type="character" w:styleId="FootnoteReference">
    <w:name w:val="footnote reference"/>
    <w:basedOn w:val="DefaultParagraphFont"/>
    <w:uiPriority w:val="99"/>
    <w:semiHidden/>
    <w:rsid w:val="000848CA"/>
    <w:rPr>
      <w:rFonts w:cs="Times New Roman"/>
      <w:vertAlign w:val="superscript"/>
    </w:rPr>
  </w:style>
  <w:style w:type="paragraph" w:styleId="BodyText2">
    <w:name w:val="Body Text 2"/>
    <w:basedOn w:val="Normal"/>
    <w:link w:val="BodyText2Char"/>
    <w:uiPriority w:val="99"/>
    <w:rsid w:val="0030505E"/>
    <w:rPr>
      <w:b/>
      <w:bCs/>
      <w:lang w:val="sl-SI" w:eastAsia="sl-SI"/>
    </w:rPr>
  </w:style>
  <w:style w:type="character" w:customStyle="1" w:styleId="BodyText2Char">
    <w:name w:val="Body Text 2 Char"/>
    <w:basedOn w:val="DefaultParagraphFont"/>
    <w:link w:val="BodyText2"/>
    <w:uiPriority w:val="99"/>
    <w:locked/>
    <w:rsid w:val="00304800"/>
    <w:rPr>
      <w:rFonts w:ascii="Open Sans" w:hAnsi="Open Sans" w:cs="Open Sans"/>
      <w:sz w:val="20"/>
      <w:szCs w:val="20"/>
      <w:lang w:val="en-GB"/>
    </w:rPr>
  </w:style>
  <w:style w:type="paragraph" w:styleId="BodyText">
    <w:name w:val="Body Text"/>
    <w:basedOn w:val="Normal"/>
    <w:link w:val="BodyTextChar"/>
    <w:uiPriority w:val="99"/>
    <w:rsid w:val="007B78D1"/>
    <w:pPr>
      <w:spacing w:after="120"/>
    </w:pPr>
  </w:style>
  <w:style w:type="character" w:customStyle="1" w:styleId="BodyTextChar">
    <w:name w:val="Body Text Char"/>
    <w:basedOn w:val="DefaultParagraphFont"/>
    <w:link w:val="BodyText"/>
    <w:uiPriority w:val="99"/>
    <w:locked/>
    <w:rsid w:val="00486A85"/>
    <w:rPr>
      <w:rFonts w:ascii="Open Sans" w:hAnsi="Open Sans" w:cs="Open Sans"/>
      <w:lang w:val="en-GB"/>
    </w:rPr>
  </w:style>
  <w:style w:type="paragraph" w:customStyle="1" w:styleId="Text2">
    <w:name w:val="Text 2"/>
    <w:basedOn w:val="Normal"/>
    <w:uiPriority w:val="99"/>
    <w:rsid w:val="00891D6C"/>
    <w:pPr>
      <w:tabs>
        <w:tab w:val="left" w:pos="2161"/>
      </w:tabs>
      <w:spacing w:after="240"/>
      <w:ind w:left="1202"/>
    </w:pPr>
    <w:rPr>
      <w:lang w:eastAsia="en-US"/>
    </w:rPr>
  </w:style>
  <w:style w:type="paragraph" w:customStyle="1" w:styleId="NumPar2">
    <w:name w:val="NumPar 2"/>
    <w:basedOn w:val="Normal"/>
    <w:next w:val="Text2"/>
    <w:uiPriority w:val="99"/>
    <w:rsid w:val="00891D6C"/>
    <w:pPr>
      <w:tabs>
        <w:tab w:val="num" w:pos="792"/>
      </w:tabs>
      <w:ind w:left="792" w:hanging="283"/>
    </w:pPr>
    <w:rPr>
      <w:rFonts w:ascii="Times New Roman" w:hAnsi="Times New Roman" w:cs="Times New Roman"/>
      <w:b/>
      <w:bCs/>
      <w:i/>
      <w:iCs/>
      <w:sz w:val="24"/>
      <w:lang w:val="fr-FR" w:eastAsia="en-US"/>
    </w:rPr>
  </w:style>
  <w:style w:type="paragraph" w:styleId="BodyTextIndent3">
    <w:name w:val="Body Text Indent 3"/>
    <w:basedOn w:val="Normal"/>
    <w:link w:val="BodyTextIndent3Char"/>
    <w:uiPriority w:val="99"/>
    <w:rsid w:val="005C3278"/>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304800"/>
    <w:rPr>
      <w:rFonts w:ascii="Open Sans" w:hAnsi="Open Sans" w:cs="Open Sans"/>
      <w:sz w:val="16"/>
      <w:szCs w:val="16"/>
      <w:lang w:val="en-GB"/>
    </w:rPr>
  </w:style>
  <w:style w:type="paragraph" w:styleId="NormalWeb">
    <w:name w:val="Normal (Web)"/>
    <w:basedOn w:val="Normal"/>
    <w:uiPriority w:val="99"/>
    <w:rsid w:val="005C3278"/>
    <w:rPr>
      <w:rFonts w:cs="Arial"/>
      <w:color w:val="000000"/>
      <w:lang w:val="de-DE" w:eastAsia="de-DE"/>
    </w:rPr>
  </w:style>
  <w:style w:type="paragraph" w:styleId="BodyTextIndent">
    <w:name w:val="Body Text Indent"/>
    <w:basedOn w:val="Normal"/>
    <w:link w:val="BodyTextIndentChar"/>
    <w:uiPriority w:val="99"/>
    <w:rsid w:val="005C3278"/>
    <w:pPr>
      <w:spacing w:after="120"/>
      <w:ind w:left="283"/>
    </w:pPr>
  </w:style>
  <w:style w:type="character" w:customStyle="1" w:styleId="BodyTextIndentChar">
    <w:name w:val="Body Text Indent Char"/>
    <w:basedOn w:val="DefaultParagraphFont"/>
    <w:link w:val="BodyTextIndent"/>
    <w:uiPriority w:val="99"/>
    <w:locked/>
    <w:rsid w:val="00FC42DF"/>
    <w:rPr>
      <w:rFonts w:ascii="Open Sans" w:hAnsi="Open Sans" w:cs="Open Sans"/>
      <w:lang w:val="en-GB"/>
    </w:rPr>
  </w:style>
  <w:style w:type="character" w:customStyle="1" w:styleId="titleblack1">
    <w:name w:val="titleblack1"/>
    <w:uiPriority w:val="99"/>
    <w:rsid w:val="005C3278"/>
    <w:rPr>
      <w:rFonts w:ascii="Verdana" w:hAnsi="Verdana"/>
      <w:b/>
      <w:color w:val="000000"/>
      <w:sz w:val="21"/>
      <w:u w:val="none"/>
      <w:effect w:val="none"/>
    </w:rPr>
  </w:style>
  <w:style w:type="character" w:styleId="FollowedHyperlink">
    <w:name w:val="FollowedHyperlink"/>
    <w:basedOn w:val="DefaultParagraphFont"/>
    <w:uiPriority w:val="99"/>
    <w:rsid w:val="00DE0AB3"/>
    <w:rPr>
      <w:rFonts w:cs="Times New Roman"/>
      <w:color w:val="800080"/>
      <w:u w:val="single"/>
    </w:rPr>
  </w:style>
  <w:style w:type="paragraph" w:styleId="TOC1">
    <w:name w:val="toc 1"/>
    <w:basedOn w:val="Normal"/>
    <w:next w:val="Normal"/>
    <w:autoRedefine/>
    <w:uiPriority w:val="39"/>
    <w:rsid w:val="00777E2D"/>
    <w:pPr>
      <w:spacing w:before="360" w:after="0"/>
    </w:pPr>
    <w:rPr>
      <w:rFonts w:ascii="Cambria" w:hAnsi="Cambria"/>
      <w:b/>
      <w:bCs/>
      <w:caps/>
      <w:sz w:val="24"/>
      <w:szCs w:val="24"/>
    </w:rPr>
  </w:style>
  <w:style w:type="paragraph" w:styleId="TOCHeading">
    <w:name w:val="TOC Heading"/>
    <w:basedOn w:val="Heading1"/>
    <w:next w:val="Normal"/>
    <w:uiPriority w:val="99"/>
    <w:qFormat/>
    <w:rsid w:val="004128FA"/>
    <w:pPr>
      <w:spacing w:after="0"/>
      <w:outlineLvl w:val="9"/>
    </w:pPr>
    <w:rPr>
      <w:rFonts w:ascii="Cambria" w:hAnsi="Cambria" w:cs="Times New Roman"/>
      <w:bCs w:val="0"/>
      <w:iCs/>
      <w:smallCaps/>
      <w:color w:val="365F91"/>
      <w:sz w:val="28"/>
      <w:lang w:val="hu-HU"/>
    </w:rPr>
  </w:style>
  <w:style w:type="paragraph" w:styleId="TOC4">
    <w:name w:val="toc 4"/>
    <w:basedOn w:val="Normal"/>
    <w:next w:val="Normal"/>
    <w:autoRedefine/>
    <w:uiPriority w:val="99"/>
    <w:rsid w:val="004128FA"/>
    <w:pPr>
      <w:spacing w:after="0"/>
      <w:ind w:left="400"/>
    </w:pPr>
    <w:rPr>
      <w:rFonts w:ascii="Calibri" w:hAnsi="Calibri"/>
    </w:rPr>
  </w:style>
  <w:style w:type="paragraph" w:styleId="TOC5">
    <w:name w:val="toc 5"/>
    <w:basedOn w:val="Normal"/>
    <w:next w:val="Normal"/>
    <w:autoRedefine/>
    <w:uiPriority w:val="99"/>
    <w:rsid w:val="004128FA"/>
    <w:pPr>
      <w:spacing w:after="0"/>
      <w:ind w:left="600"/>
    </w:pPr>
    <w:rPr>
      <w:rFonts w:ascii="Calibri" w:hAnsi="Calibri"/>
    </w:rPr>
  </w:style>
  <w:style w:type="paragraph" w:styleId="TOC6">
    <w:name w:val="toc 6"/>
    <w:basedOn w:val="Normal"/>
    <w:next w:val="Normal"/>
    <w:autoRedefine/>
    <w:uiPriority w:val="99"/>
    <w:rsid w:val="004128FA"/>
    <w:pPr>
      <w:spacing w:after="0"/>
      <w:ind w:left="800"/>
    </w:pPr>
    <w:rPr>
      <w:rFonts w:ascii="Calibri" w:hAnsi="Calibri"/>
    </w:rPr>
  </w:style>
  <w:style w:type="paragraph" w:styleId="TOC7">
    <w:name w:val="toc 7"/>
    <w:basedOn w:val="Normal"/>
    <w:next w:val="Normal"/>
    <w:autoRedefine/>
    <w:uiPriority w:val="99"/>
    <w:rsid w:val="004128FA"/>
    <w:pPr>
      <w:spacing w:after="0"/>
      <w:ind w:left="1000"/>
    </w:pPr>
    <w:rPr>
      <w:rFonts w:ascii="Calibri" w:hAnsi="Calibri"/>
    </w:rPr>
  </w:style>
  <w:style w:type="paragraph" w:styleId="TOC8">
    <w:name w:val="toc 8"/>
    <w:basedOn w:val="Normal"/>
    <w:next w:val="Normal"/>
    <w:autoRedefine/>
    <w:uiPriority w:val="99"/>
    <w:rsid w:val="004128FA"/>
    <w:pPr>
      <w:spacing w:after="0"/>
      <w:ind w:left="1200"/>
    </w:pPr>
    <w:rPr>
      <w:rFonts w:ascii="Calibri" w:hAnsi="Calibri"/>
    </w:rPr>
  </w:style>
  <w:style w:type="paragraph" w:styleId="TOC9">
    <w:name w:val="toc 9"/>
    <w:basedOn w:val="Normal"/>
    <w:next w:val="Normal"/>
    <w:autoRedefine/>
    <w:uiPriority w:val="99"/>
    <w:rsid w:val="004128FA"/>
    <w:pPr>
      <w:spacing w:after="0"/>
      <w:ind w:left="1400"/>
    </w:pPr>
    <w:rPr>
      <w:rFonts w:ascii="Calibri" w:hAnsi="Calibri"/>
    </w:rPr>
  </w:style>
  <w:style w:type="paragraph" w:styleId="ListParagraph">
    <w:name w:val="List Paragraph"/>
    <w:aliases w:val="body,Odsek zoznamu2"/>
    <w:basedOn w:val="Normal"/>
    <w:link w:val="ListParagraphChar"/>
    <w:uiPriority w:val="34"/>
    <w:qFormat/>
    <w:rsid w:val="00935B29"/>
    <w:pPr>
      <w:spacing w:line="300" w:lineRule="atLeast"/>
      <w:ind w:left="720"/>
      <w:contextualSpacing/>
    </w:pPr>
    <w:rPr>
      <w:rFonts w:cs="Times New Roman"/>
      <w:szCs w:val="22"/>
      <w:lang w:eastAsia="en-US"/>
    </w:rPr>
  </w:style>
  <w:style w:type="character" w:customStyle="1" w:styleId="ListParagraphChar">
    <w:name w:val="List Paragraph Char"/>
    <w:aliases w:val="body Char,Odsek zoznamu2 Char"/>
    <w:basedOn w:val="DefaultParagraphFont"/>
    <w:link w:val="ListParagraph"/>
    <w:uiPriority w:val="99"/>
    <w:locked/>
    <w:rsid w:val="00935B29"/>
    <w:rPr>
      <w:rFonts w:ascii="Open Sans" w:hAnsi="Open Sans"/>
      <w:sz w:val="20"/>
      <w:lang w:val="en-GB" w:eastAsia="en-US"/>
    </w:rPr>
  </w:style>
  <w:style w:type="character" w:customStyle="1" w:styleId="shorttext">
    <w:name w:val="short_text"/>
    <w:basedOn w:val="DefaultParagraphFont"/>
    <w:uiPriority w:val="99"/>
    <w:rsid w:val="00AC1F9B"/>
    <w:rPr>
      <w:rFonts w:cs="Times New Roman"/>
    </w:rPr>
  </w:style>
  <w:style w:type="paragraph" w:styleId="NoSpacing">
    <w:name w:val="No Spacing"/>
    <w:link w:val="NoSpacingChar"/>
    <w:uiPriority w:val="99"/>
    <w:qFormat/>
    <w:rsid w:val="00103C30"/>
    <w:pPr>
      <w:ind w:left="1701"/>
      <w:jc w:val="both"/>
    </w:pPr>
    <w:rPr>
      <w:rFonts w:ascii="Optima" w:hAnsi="Optima"/>
      <w:szCs w:val="20"/>
      <w:lang w:val="en-GB" w:eastAsia="en-GB"/>
    </w:rPr>
  </w:style>
  <w:style w:type="character" w:customStyle="1" w:styleId="NoSpacingChar">
    <w:name w:val="No Spacing Char"/>
    <w:basedOn w:val="DefaultParagraphFont"/>
    <w:link w:val="NoSpacing"/>
    <w:uiPriority w:val="99"/>
    <w:locked/>
    <w:rsid w:val="001E02F4"/>
    <w:rPr>
      <w:rFonts w:ascii="Optima" w:hAnsi="Optima" w:cs="Times New Roman"/>
      <w:sz w:val="22"/>
      <w:lang w:val="en-GB" w:eastAsia="en-GB" w:bidi="ar-SA"/>
    </w:rPr>
  </w:style>
  <w:style w:type="paragraph" w:customStyle="1" w:styleId="Annexetitle">
    <w:name w:val="Annexe_title"/>
    <w:basedOn w:val="Heading1"/>
    <w:next w:val="Normal"/>
    <w:autoRedefine/>
    <w:uiPriority w:val="99"/>
    <w:rsid w:val="00103C30"/>
    <w:pPr>
      <w:spacing w:before="0" w:after="240"/>
      <w:jc w:val="center"/>
      <w:outlineLvl w:val="9"/>
    </w:pPr>
    <w:rPr>
      <w:rFonts w:ascii="Times New Roman" w:hAnsi="Times New Roman" w:cs="Times New Roman"/>
      <w:caps/>
      <w:color w:val="auto"/>
      <w:szCs w:val="20"/>
      <w:lang w:eastAsia="en-GB"/>
    </w:rPr>
  </w:style>
  <w:style w:type="character" w:styleId="Strong">
    <w:name w:val="Strong"/>
    <w:basedOn w:val="DefaultParagraphFont"/>
    <w:uiPriority w:val="99"/>
    <w:qFormat/>
    <w:rsid w:val="00491F08"/>
    <w:rPr>
      <w:rFonts w:cs="Times New Roman"/>
      <w:b/>
    </w:rPr>
  </w:style>
  <w:style w:type="paragraph" w:styleId="Caption">
    <w:name w:val="caption"/>
    <w:basedOn w:val="Normal"/>
    <w:next w:val="Normal"/>
    <w:uiPriority w:val="99"/>
    <w:qFormat/>
    <w:rsid w:val="00B12DB2"/>
    <w:pPr>
      <w:spacing w:line="240" w:lineRule="auto"/>
    </w:pPr>
    <w:rPr>
      <w:b/>
      <w:bCs/>
      <w:color w:val="4F81BD"/>
      <w:sz w:val="18"/>
      <w:szCs w:val="18"/>
    </w:rPr>
  </w:style>
  <w:style w:type="table" w:customStyle="1" w:styleId="Svetlzoznamzvraznenie11">
    <w:name w:val="Svetlý zoznam – zvýraznenie 11"/>
    <w:uiPriority w:val="61"/>
    <w:rsid w:val="00CE43FC"/>
    <w:rPr>
      <w:rFonts w:ascii="Calibri" w:hAnsi="Calibri"/>
      <w:sz w:val="20"/>
      <w:szCs w:val="20"/>
      <w:lang w:val="sk-SK"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np">
    <w:name w:val="np"/>
    <w:basedOn w:val="Normal"/>
    <w:uiPriority w:val="99"/>
    <w:rsid w:val="00486A85"/>
    <w:pPr>
      <w:spacing w:before="100" w:beforeAutospacing="1" w:after="100" w:afterAutospacing="1" w:line="240" w:lineRule="auto"/>
    </w:pPr>
    <w:rPr>
      <w:rFonts w:ascii="Times New Roman" w:hAnsi="Times New Roman" w:cs="Times New Roman"/>
      <w:sz w:val="24"/>
      <w:szCs w:val="24"/>
      <w:lang w:val="sk-SK"/>
    </w:rPr>
  </w:style>
  <w:style w:type="character" w:customStyle="1" w:styleId="highlight">
    <w:name w:val="highlight"/>
    <w:basedOn w:val="DefaultParagraphFont"/>
    <w:uiPriority w:val="99"/>
    <w:rsid w:val="00486A85"/>
    <w:rPr>
      <w:rFonts w:cs="Times New Roman"/>
    </w:rPr>
  </w:style>
  <w:style w:type="character" w:customStyle="1" w:styleId="Bodytext0">
    <w:name w:val="Body text_"/>
    <w:basedOn w:val="DefaultParagraphFont"/>
    <w:link w:val="Szvegtrzs1"/>
    <w:uiPriority w:val="99"/>
    <w:locked/>
    <w:rsid w:val="00486A85"/>
    <w:rPr>
      <w:rFonts w:ascii="Trebuchet MS" w:hAnsi="Trebuchet MS" w:cs="Trebuchet MS"/>
      <w:sz w:val="21"/>
      <w:szCs w:val="21"/>
      <w:shd w:val="clear" w:color="auto" w:fill="FFFFFF"/>
    </w:rPr>
  </w:style>
  <w:style w:type="paragraph" w:customStyle="1" w:styleId="Szvegtrzs1">
    <w:name w:val="Szövegtörzs1"/>
    <w:basedOn w:val="Normal"/>
    <w:link w:val="Bodytext0"/>
    <w:uiPriority w:val="99"/>
    <w:rsid w:val="00486A85"/>
    <w:pPr>
      <w:shd w:val="clear" w:color="auto" w:fill="FFFFFF"/>
      <w:spacing w:after="0" w:line="252" w:lineRule="exact"/>
      <w:ind w:hanging="1800"/>
    </w:pPr>
    <w:rPr>
      <w:rFonts w:ascii="Trebuchet MS" w:hAnsi="Trebuchet MS" w:cs="Trebuchet MS"/>
      <w:sz w:val="21"/>
      <w:szCs w:val="21"/>
      <w:lang w:val="hu-HU"/>
    </w:rPr>
  </w:style>
  <w:style w:type="table" w:styleId="ColorfulGrid-Accent1">
    <w:name w:val="Colorful Grid Accent 1"/>
    <w:basedOn w:val="TableNormal"/>
    <w:uiPriority w:val="99"/>
    <w:rsid w:val="009C6D67"/>
    <w:rPr>
      <w:color w:val="000000"/>
      <w:sz w:val="20"/>
      <w:szCs w:val="2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3-Accent1">
    <w:name w:val="Medium Grid 3 Accent 1"/>
    <w:basedOn w:val="TableNormal"/>
    <w:uiPriority w:val="99"/>
    <w:rsid w:val="007A52F8"/>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tlus87">
    <w:name w:val="Stílus87"/>
    <w:uiPriority w:val="99"/>
    <w:rsid w:val="004B0F84"/>
    <w:rPr>
      <w:rFonts w:ascii="Calibri" w:hAnsi="Calibri" w:cs="Calibri"/>
      <w:color w:val="000000"/>
      <w:sz w:val="24"/>
      <w:szCs w:val="24"/>
    </w:rPr>
    <w:tblPr>
      <w:tblStyleRowBandSize w:val="1"/>
      <w:tblStyleColBandSize w:val="1"/>
      <w:tblInd w:w="0" w:type="dxa"/>
      <w:tblCellMar>
        <w:top w:w="0" w:type="dxa"/>
        <w:left w:w="115" w:type="dxa"/>
        <w:bottom w:w="0" w:type="dxa"/>
        <w:right w:w="115" w:type="dxa"/>
      </w:tblCellMar>
    </w:tblPr>
  </w:style>
  <w:style w:type="table" w:customStyle="1" w:styleId="Stlus86">
    <w:name w:val="Stílus86"/>
    <w:uiPriority w:val="99"/>
    <w:rsid w:val="004B0F84"/>
    <w:rPr>
      <w:rFonts w:ascii="Calibri" w:hAnsi="Calibri" w:cs="Calibri"/>
      <w:color w:val="000000"/>
      <w:sz w:val="24"/>
      <w:szCs w:val="24"/>
    </w:rPr>
    <w:tblPr>
      <w:tblStyleRowBandSize w:val="1"/>
      <w:tblStyleColBandSize w:val="1"/>
      <w:tblInd w:w="0" w:type="dxa"/>
      <w:tblCellMar>
        <w:top w:w="0" w:type="dxa"/>
        <w:left w:w="115" w:type="dxa"/>
        <w:bottom w:w="0" w:type="dxa"/>
        <w:right w:w="115" w:type="dxa"/>
      </w:tblCellMar>
    </w:tblPr>
  </w:style>
  <w:style w:type="table" w:customStyle="1" w:styleId="Stlus42">
    <w:name w:val="Stílus42"/>
    <w:uiPriority w:val="99"/>
    <w:rsid w:val="004B0F84"/>
    <w:rPr>
      <w:rFonts w:ascii="Calibri" w:hAnsi="Calibri" w:cs="Calibri"/>
      <w:color w:val="000000"/>
      <w:sz w:val="24"/>
      <w:szCs w:val="24"/>
    </w:rPr>
    <w:tblPr>
      <w:tblStyleRowBandSize w:val="1"/>
      <w:tblStyleColBandSize w:val="1"/>
      <w:tblInd w:w="0" w:type="dxa"/>
      <w:tblCellMar>
        <w:top w:w="0" w:type="dxa"/>
        <w:left w:w="115" w:type="dxa"/>
        <w:bottom w:w="0" w:type="dxa"/>
        <w:right w:w="115" w:type="dxa"/>
      </w:tblCellMar>
    </w:tblPr>
  </w:style>
  <w:style w:type="paragraph" w:styleId="Revision">
    <w:name w:val="Revision"/>
    <w:hidden/>
    <w:uiPriority w:val="99"/>
    <w:semiHidden/>
    <w:rsid w:val="0004610B"/>
    <w:rPr>
      <w:rFonts w:ascii="Open Sans" w:hAnsi="Open Sans" w:cs="Open Sans"/>
      <w:sz w:val="20"/>
      <w:szCs w:val="20"/>
      <w:lang w:val="en-GB"/>
    </w:rPr>
  </w:style>
  <w:style w:type="paragraph" w:styleId="ListNumber">
    <w:name w:val="List Number"/>
    <w:basedOn w:val="Normal"/>
    <w:uiPriority w:val="99"/>
    <w:semiHidden/>
    <w:rsid w:val="00705DF2"/>
    <w:pPr>
      <w:tabs>
        <w:tab w:val="num" w:pos="360"/>
      </w:tabs>
      <w:ind w:left="360" w:hanging="360"/>
      <w:contextualSpacing/>
    </w:pPr>
  </w:style>
  <w:style w:type="paragraph" w:styleId="Subtitle">
    <w:name w:val="Subtitle"/>
    <w:basedOn w:val="Normal"/>
    <w:next w:val="Normal"/>
    <w:link w:val="SubtitleChar"/>
    <w:uiPriority w:val="11"/>
    <w:qFormat/>
    <w:locked/>
    <w:rsid w:val="009C5FB3"/>
    <w:pPr>
      <w:jc w:val="right"/>
    </w:pPr>
    <w:rPr>
      <w:rFonts w:ascii="Aller" w:eastAsiaTheme="majorEastAsia" w:hAnsi="Aller" w:cstheme="majorBidi"/>
      <w:b/>
      <w:iCs/>
      <w:color w:val="7F7F7F" w:themeColor="text1" w:themeTint="80"/>
      <w:spacing w:val="15"/>
      <w:sz w:val="44"/>
      <w:szCs w:val="24"/>
    </w:rPr>
  </w:style>
  <w:style w:type="character" w:customStyle="1" w:styleId="SubtitleChar">
    <w:name w:val="Subtitle Char"/>
    <w:basedOn w:val="DefaultParagraphFont"/>
    <w:link w:val="Subtitle"/>
    <w:uiPriority w:val="11"/>
    <w:rsid w:val="00A05513"/>
    <w:rPr>
      <w:rFonts w:ascii="Aller" w:eastAsiaTheme="majorEastAsia" w:hAnsi="Aller" w:cstheme="majorBidi"/>
      <w:b/>
      <w:iCs/>
      <w:color w:val="7F7F7F" w:themeColor="text1" w:themeTint="80"/>
      <w:spacing w:val="15"/>
      <w:sz w:val="44"/>
      <w:szCs w:val="24"/>
      <w:lang w:val="en-GB"/>
    </w:rPr>
  </w:style>
  <w:style w:type="character" w:customStyle="1" w:styleId="Heading2Char">
    <w:name w:val="Heading 2 Char"/>
    <w:basedOn w:val="DefaultParagraphFont"/>
    <w:link w:val="Heading2"/>
    <w:uiPriority w:val="4"/>
    <w:rsid w:val="00A05513"/>
    <w:rPr>
      <w:rFonts w:ascii="Aller" w:eastAsiaTheme="majorEastAsia" w:hAnsi="Aller" w:cstheme="majorBidi"/>
      <w:b/>
      <w:bCs/>
      <w:color w:val="7F7F7F" w:themeColor="text1" w:themeTint="80"/>
      <w:sz w:val="26"/>
      <w:szCs w:val="26"/>
      <w:lang w:val="en-GB"/>
    </w:rPr>
  </w:style>
  <w:style w:type="paragraph" w:customStyle="1" w:styleId="Tblzatszveg">
    <w:name w:val="Táblázatszöveg"/>
    <w:basedOn w:val="Normal"/>
    <w:uiPriority w:val="7"/>
    <w:qFormat/>
    <w:rsid w:val="0065702E"/>
    <w:pPr>
      <w:spacing w:after="0"/>
    </w:pPr>
    <w:rPr>
      <w:sz w:val="18"/>
    </w:rPr>
  </w:style>
  <w:style w:type="paragraph" w:customStyle="1" w:styleId="Fejezetcm">
    <w:name w:val="Fejezetcím"/>
    <w:basedOn w:val="Heading1"/>
    <w:uiPriority w:val="2"/>
    <w:qFormat/>
    <w:rsid w:val="00A05513"/>
    <w:pPr>
      <w:jc w:val="right"/>
    </w:pPr>
    <w:rPr>
      <w:color w:val="7F7F7F" w:themeColor="text1" w:themeTint="80"/>
      <w:sz w:val="52"/>
    </w:rPr>
  </w:style>
  <w:style w:type="character" w:styleId="IntenseEmphasis">
    <w:name w:val="Intense Emphasis"/>
    <w:basedOn w:val="DefaultParagraphFont"/>
    <w:uiPriority w:val="21"/>
    <w:qFormat/>
    <w:rsid w:val="00B224E2"/>
    <w:rPr>
      <w:b/>
      <w:bCs/>
      <w:i/>
      <w:iCs/>
      <w:color w:val="4F81BD" w:themeColor="accent1"/>
    </w:rPr>
  </w:style>
  <w:style w:type="character" w:styleId="Emphasis">
    <w:name w:val="Emphasis"/>
    <w:basedOn w:val="DefaultParagraphFont"/>
    <w:uiPriority w:val="20"/>
    <w:qFormat/>
    <w:locked/>
    <w:rsid w:val="00B224E2"/>
    <w:rPr>
      <w:i/>
      <w:iCs/>
    </w:rPr>
  </w:style>
  <w:style w:type="character" w:styleId="PlaceholderText">
    <w:name w:val="Placeholder Text"/>
    <w:basedOn w:val="DefaultParagraphFont"/>
    <w:uiPriority w:val="99"/>
    <w:semiHidden/>
    <w:rsid w:val="00924E8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lsdException w:name="heading 1" w:semiHidden="0" w:uiPriority="3"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al">
    <w:name w:val="Normal"/>
    <w:uiPriority w:val="6"/>
    <w:rsid w:val="0065702E"/>
    <w:pPr>
      <w:spacing w:after="200" w:line="300" w:lineRule="auto"/>
      <w:jc w:val="both"/>
    </w:pPr>
    <w:rPr>
      <w:rFonts w:ascii="Arial" w:hAnsi="Arial" w:cs="Open Sans"/>
      <w:sz w:val="20"/>
      <w:szCs w:val="20"/>
      <w:lang w:val="en-GB"/>
    </w:rPr>
  </w:style>
  <w:style w:type="paragraph" w:styleId="Heading1">
    <w:name w:val="heading 1"/>
    <w:basedOn w:val="Normal"/>
    <w:next w:val="Normal"/>
    <w:link w:val="Heading1Char"/>
    <w:uiPriority w:val="3"/>
    <w:qFormat/>
    <w:rsid w:val="00F85B5B"/>
    <w:pPr>
      <w:keepNext/>
      <w:keepLines/>
      <w:spacing w:before="480" w:after="120"/>
      <w:outlineLvl w:val="0"/>
    </w:pPr>
    <w:rPr>
      <w:rFonts w:ascii="Aller" w:eastAsiaTheme="majorEastAsia" w:hAnsi="Aller" w:cstheme="majorBidi"/>
      <w:b/>
      <w:bCs/>
      <w:color w:val="005A96"/>
      <w:sz w:val="32"/>
      <w:szCs w:val="28"/>
    </w:rPr>
  </w:style>
  <w:style w:type="paragraph" w:styleId="Heading2">
    <w:name w:val="heading 2"/>
    <w:basedOn w:val="Normal"/>
    <w:next w:val="Normal"/>
    <w:link w:val="Heading2Char"/>
    <w:uiPriority w:val="4"/>
    <w:qFormat/>
    <w:locked/>
    <w:rsid w:val="00B224E2"/>
    <w:pPr>
      <w:keepNext/>
      <w:keepLines/>
      <w:spacing w:before="200" w:after="120"/>
      <w:outlineLvl w:val="1"/>
    </w:pPr>
    <w:rPr>
      <w:rFonts w:ascii="Aller" w:eastAsiaTheme="majorEastAsia" w:hAnsi="Aller" w:cstheme="majorBidi"/>
      <w:b/>
      <w:bCs/>
      <w:color w:val="7F7F7F" w:themeColor="text1" w:themeTint="80"/>
      <w:sz w:val="26"/>
      <w:szCs w:val="26"/>
    </w:rPr>
  </w:style>
  <w:style w:type="paragraph" w:styleId="Heading3">
    <w:name w:val="heading 3"/>
    <w:basedOn w:val="Normal"/>
    <w:next w:val="Normal"/>
    <w:link w:val="Heading3Char"/>
    <w:uiPriority w:val="5"/>
    <w:qFormat/>
    <w:rsid w:val="00A05513"/>
    <w:pPr>
      <w:keepNext/>
      <w:keepLines/>
      <w:spacing w:before="200" w:after="120"/>
      <w:outlineLvl w:val="2"/>
    </w:pPr>
    <w:rPr>
      <w:rFonts w:ascii="Aller" w:eastAsiaTheme="majorEastAsia" w:hAnsi="Aller" w:cstheme="majorBidi"/>
      <w:b/>
      <w:bCs/>
      <w:color w:val="4F81BD" w:themeColor="accent1"/>
      <w:szCs w:val="22"/>
    </w:rPr>
  </w:style>
  <w:style w:type="paragraph" w:styleId="Heading4">
    <w:name w:val="heading 4"/>
    <w:basedOn w:val="Normal"/>
    <w:next w:val="Normal"/>
    <w:link w:val="Heading4Char"/>
    <w:uiPriority w:val="6"/>
    <w:qFormat/>
    <w:rsid w:val="00863F5E"/>
    <w:pPr>
      <w:spacing w:before="240" w:after="60"/>
      <w:outlineLvl w:val="3"/>
    </w:pPr>
    <w:rPr>
      <w:b/>
      <w:bCs/>
    </w:rPr>
  </w:style>
  <w:style w:type="paragraph" w:styleId="Heading5">
    <w:name w:val="heading 5"/>
    <w:basedOn w:val="Normal"/>
    <w:next w:val="Normal"/>
    <w:link w:val="Heading5Char"/>
    <w:uiPriority w:val="99"/>
    <w:qFormat/>
    <w:rsid w:val="005C3278"/>
    <w:pPr>
      <w:numPr>
        <w:ilvl w:val="4"/>
        <w:numId w:val="1"/>
      </w:numPr>
      <w:spacing w:before="240" w:after="60"/>
      <w:outlineLvl w:val="4"/>
    </w:pPr>
    <w:rPr>
      <w:b/>
      <w:bCs/>
      <w:i/>
      <w:iCs/>
      <w:sz w:val="26"/>
      <w:szCs w:val="26"/>
      <w:lang w:eastAsia="de-DE"/>
    </w:rPr>
  </w:style>
  <w:style w:type="paragraph" w:styleId="Heading6">
    <w:name w:val="heading 6"/>
    <w:basedOn w:val="Normal"/>
    <w:next w:val="Normal"/>
    <w:link w:val="Heading6Char"/>
    <w:uiPriority w:val="99"/>
    <w:qFormat/>
    <w:rsid w:val="005C3278"/>
    <w:pPr>
      <w:numPr>
        <w:ilvl w:val="5"/>
        <w:numId w:val="1"/>
      </w:numPr>
      <w:spacing w:before="240" w:after="60"/>
      <w:outlineLvl w:val="5"/>
    </w:pPr>
    <w:rPr>
      <w:b/>
      <w:bCs/>
      <w:szCs w:val="22"/>
      <w:lang w:eastAsia="de-DE"/>
    </w:rPr>
  </w:style>
  <w:style w:type="paragraph" w:styleId="Heading7">
    <w:name w:val="heading 7"/>
    <w:basedOn w:val="Normal"/>
    <w:next w:val="Normal"/>
    <w:link w:val="Heading7Char"/>
    <w:uiPriority w:val="99"/>
    <w:qFormat/>
    <w:rsid w:val="005C3278"/>
    <w:pPr>
      <w:numPr>
        <w:ilvl w:val="6"/>
        <w:numId w:val="1"/>
      </w:numPr>
      <w:spacing w:before="240" w:after="60"/>
      <w:outlineLvl w:val="6"/>
    </w:pPr>
    <w:rPr>
      <w:lang w:eastAsia="de-DE"/>
    </w:rPr>
  </w:style>
  <w:style w:type="paragraph" w:styleId="Heading8">
    <w:name w:val="heading 8"/>
    <w:basedOn w:val="Normal"/>
    <w:next w:val="Normal"/>
    <w:link w:val="Heading8Char"/>
    <w:uiPriority w:val="99"/>
    <w:qFormat/>
    <w:rsid w:val="005C3278"/>
    <w:pPr>
      <w:numPr>
        <w:ilvl w:val="7"/>
        <w:numId w:val="1"/>
      </w:numPr>
      <w:spacing w:before="240" w:after="60"/>
      <w:outlineLvl w:val="7"/>
    </w:pPr>
    <w:rPr>
      <w:i/>
      <w:iCs/>
      <w:lang w:eastAsia="de-DE"/>
    </w:rPr>
  </w:style>
  <w:style w:type="paragraph" w:styleId="Heading9">
    <w:name w:val="heading 9"/>
    <w:basedOn w:val="Normal"/>
    <w:next w:val="Normal"/>
    <w:link w:val="Heading9Char"/>
    <w:uiPriority w:val="99"/>
    <w:qFormat/>
    <w:rsid w:val="005C3278"/>
    <w:pPr>
      <w:numPr>
        <w:ilvl w:val="8"/>
        <w:numId w:val="1"/>
      </w:numPr>
      <w:spacing w:before="240" w:after="60"/>
      <w:outlineLvl w:val="8"/>
    </w:pPr>
    <w:rPr>
      <w:rFonts w:cs="Arial"/>
      <w:szCs w:val="22"/>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locked/>
    <w:rsid w:val="00A05513"/>
    <w:rPr>
      <w:rFonts w:ascii="Aller" w:eastAsiaTheme="majorEastAsia" w:hAnsi="Aller" w:cstheme="majorBidi"/>
      <w:b/>
      <w:bCs/>
      <w:color w:val="005A96"/>
      <w:sz w:val="32"/>
      <w:szCs w:val="28"/>
      <w:lang w:val="en-GB"/>
    </w:rPr>
  </w:style>
  <w:style w:type="character" w:customStyle="1" w:styleId="Heading3Char">
    <w:name w:val="Heading 3 Char"/>
    <w:basedOn w:val="DefaultParagraphFont"/>
    <w:link w:val="Heading3"/>
    <w:uiPriority w:val="5"/>
    <w:locked/>
    <w:rsid w:val="00A05513"/>
    <w:rPr>
      <w:rFonts w:ascii="Aller" w:eastAsiaTheme="majorEastAsia" w:hAnsi="Aller" w:cstheme="majorBidi"/>
      <w:b/>
      <w:bCs/>
      <w:color w:val="4F81BD" w:themeColor="accent1"/>
      <w:lang w:val="en-GB"/>
    </w:rPr>
  </w:style>
  <w:style w:type="character" w:customStyle="1" w:styleId="Heading4Char">
    <w:name w:val="Heading 4 Char"/>
    <w:basedOn w:val="DefaultParagraphFont"/>
    <w:link w:val="Heading4"/>
    <w:uiPriority w:val="6"/>
    <w:locked/>
    <w:rsid w:val="00A05513"/>
    <w:rPr>
      <w:rFonts w:ascii="Open Sans" w:hAnsi="Open Sans" w:cs="Open Sans"/>
      <w:b/>
      <w:bCs/>
      <w:sz w:val="20"/>
      <w:szCs w:val="20"/>
      <w:lang w:val="en-GB"/>
    </w:rPr>
  </w:style>
  <w:style w:type="character" w:customStyle="1" w:styleId="Heading5Char">
    <w:name w:val="Heading 5 Char"/>
    <w:basedOn w:val="DefaultParagraphFont"/>
    <w:link w:val="Heading5"/>
    <w:uiPriority w:val="99"/>
    <w:locked/>
    <w:rsid w:val="00304800"/>
    <w:rPr>
      <w:rFonts w:ascii="Arial" w:hAnsi="Arial" w:cs="Open Sans"/>
      <w:b/>
      <w:bCs/>
      <w:i/>
      <w:iCs/>
      <w:sz w:val="26"/>
      <w:szCs w:val="26"/>
      <w:lang w:val="en-GB" w:eastAsia="de-DE"/>
    </w:rPr>
  </w:style>
  <w:style w:type="character" w:customStyle="1" w:styleId="Heading6Char">
    <w:name w:val="Heading 6 Char"/>
    <w:basedOn w:val="DefaultParagraphFont"/>
    <w:link w:val="Heading6"/>
    <w:uiPriority w:val="99"/>
    <w:locked/>
    <w:rsid w:val="00304800"/>
    <w:rPr>
      <w:rFonts w:ascii="Arial" w:hAnsi="Arial" w:cs="Open Sans"/>
      <w:b/>
      <w:bCs/>
      <w:lang w:val="en-GB" w:eastAsia="de-DE"/>
    </w:rPr>
  </w:style>
  <w:style w:type="character" w:customStyle="1" w:styleId="Heading7Char">
    <w:name w:val="Heading 7 Char"/>
    <w:basedOn w:val="DefaultParagraphFont"/>
    <w:link w:val="Heading7"/>
    <w:uiPriority w:val="99"/>
    <w:locked/>
    <w:rsid w:val="00304800"/>
    <w:rPr>
      <w:rFonts w:ascii="Arial" w:hAnsi="Arial" w:cs="Open Sans"/>
      <w:szCs w:val="20"/>
      <w:lang w:val="en-GB" w:eastAsia="de-DE"/>
    </w:rPr>
  </w:style>
  <w:style w:type="character" w:customStyle="1" w:styleId="Heading8Char">
    <w:name w:val="Heading 8 Char"/>
    <w:basedOn w:val="DefaultParagraphFont"/>
    <w:link w:val="Heading8"/>
    <w:uiPriority w:val="99"/>
    <w:locked/>
    <w:rsid w:val="00304800"/>
    <w:rPr>
      <w:rFonts w:ascii="Arial" w:hAnsi="Arial" w:cs="Open Sans"/>
      <w:i/>
      <w:iCs/>
      <w:szCs w:val="20"/>
      <w:lang w:val="en-GB" w:eastAsia="de-DE"/>
    </w:rPr>
  </w:style>
  <w:style w:type="character" w:customStyle="1" w:styleId="Heading9Char">
    <w:name w:val="Heading 9 Char"/>
    <w:basedOn w:val="DefaultParagraphFont"/>
    <w:link w:val="Heading9"/>
    <w:uiPriority w:val="99"/>
    <w:locked/>
    <w:rsid w:val="00304800"/>
    <w:rPr>
      <w:rFonts w:ascii="Arial" w:hAnsi="Arial" w:cs="Arial"/>
      <w:lang w:val="en-GB" w:eastAsia="de-DE"/>
    </w:rPr>
  </w:style>
  <w:style w:type="paragraph" w:customStyle="1" w:styleId="StlusCmsor1Arial11ptFlkvrNincsalhzsBalrazrt">
    <w:name w:val="Stílus Címsor 1 + Arial 11 pt Félkövér Nincs aláhúzás Balra zárt"/>
    <w:basedOn w:val="Heading1"/>
    <w:uiPriority w:val="99"/>
    <w:rsid w:val="00F56B62"/>
    <w:pPr>
      <w:widowControl w:val="0"/>
      <w:spacing w:before="0" w:after="0"/>
    </w:pPr>
    <w:rPr>
      <w:rFonts w:cs="Times New Roman"/>
      <w:sz w:val="22"/>
      <w:szCs w:val="20"/>
      <w:lang w:val="fi-FI" w:eastAsia="it-IT"/>
    </w:rPr>
  </w:style>
  <w:style w:type="paragraph" w:customStyle="1" w:styleId="Stlus3">
    <w:name w:val="Stílus3"/>
    <w:basedOn w:val="Heading3"/>
    <w:uiPriority w:val="99"/>
    <w:rsid w:val="00F56B62"/>
    <w:pPr>
      <w:tabs>
        <w:tab w:val="left" w:pos="-1296"/>
        <w:tab w:val="left" w:pos="0"/>
        <w:tab w:val="num" w:pos="792"/>
        <w:tab w:val="left" w:pos="1296"/>
        <w:tab w:val="left" w:pos="2592"/>
        <w:tab w:val="left" w:pos="3888"/>
        <w:tab w:val="left" w:pos="5184"/>
        <w:tab w:val="left" w:pos="6480"/>
        <w:tab w:val="left" w:pos="7776"/>
        <w:tab w:val="left" w:pos="9072"/>
      </w:tabs>
      <w:suppressAutoHyphens/>
      <w:spacing w:before="120"/>
      <w:ind w:left="792" w:hanging="432"/>
      <w:jc w:val="center"/>
    </w:pPr>
    <w:rPr>
      <w:i/>
      <w:iCs/>
      <w:lang w:eastAsia="it-IT"/>
    </w:rPr>
  </w:style>
  <w:style w:type="paragraph" w:customStyle="1" w:styleId="Stlus5">
    <w:name w:val="Stílus5"/>
    <w:basedOn w:val="Title"/>
    <w:uiPriority w:val="99"/>
    <w:rsid w:val="00F56B62"/>
    <w:pPr>
      <w:spacing w:before="120" w:after="120"/>
      <w:jc w:val="left"/>
    </w:pPr>
    <w:rPr>
      <w:bCs/>
      <w:caps/>
      <w:sz w:val="22"/>
      <w:szCs w:val="22"/>
    </w:rPr>
  </w:style>
  <w:style w:type="paragraph" w:styleId="Title">
    <w:name w:val="Title"/>
    <w:basedOn w:val="Normal"/>
    <w:link w:val="TitleChar"/>
    <w:qFormat/>
    <w:rsid w:val="009C5FB3"/>
    <w:pPr>
      <w:spacing w:after="300" w:line="240" w:lineRule="auto"/>
      <w:contextualSpacing/>
      <w:jc w:val="right"/>
    </w:pPr>
    <w:rPr>
      <w:rFonts w:ascii="Aller" w:eastAsiaTheme="majorEastAsia" w:hAnsi="Aller" w:cstheme="majorBidi"/>
      <w:b/>
      <w:color w:val="005A96"/>
      <w:spacing w:val="5"/>
      <w:kern w:val="28"/>
      <w:sz w:val="56"/>
      <w:szCs w:val="52"/>
    </w:rPr>
  </w:style>
  <w:style w:type="character" w:customStyle="1" w:styleId="TitleChar">
    <w:name w:val="Title Char"/>
    <w:basedOn w:val="DefaultParagraphFont"/>
    <w:link w:val="Title"/>
    <w:locked/>
    <w:rsid w:val="00A05513"/>
    <w:rPr>
      <w:rFonts w:ascii="Aller" w:eastAsiaTheme="majorEastAsia" w:hAnsi="Aller" w:cstheme="majorBidi"/>
      <w:b/>
      <w:color w:val="005A96"/>
      <w:spacing w:val="5"/>
      <w:kern w:val="28"/>
      <w:sz w:val="56"/>
      <w:szCs w:val="52"/>
      <w:lang w:val="en-GB"/>
    </w:rPr>
  </w:style>
  <w:style w:type="paragraph" w:customStyle="1" w:styleId="StlusStlus5NemFlkvr">
    <w:name w:val="Stílus Stílus5 + Nem Félkövér"/>
    <w:basedOn w:val="Stlus5"/>
    <w:uiPriority w:val="99"/>
    <w:rsid w:val="00F56B62"/>
  </w:style>
  <w:style w:type="paragraph" w:styleId="Header">
    <w:name w:val="header"/>
    <w:basedOn w:val="Normal"/>
    <w:link w:val="HeaderChar"/>
    <w:uiPriority w:val="99"/>
    <w:rsid w:val="00BD20B0"/>
    <w:pPr>
      <w:tabs>
        <w:tab w:val="center" w:pos="4536"/>
        <w:tab w:val="right" w:pos="9072"/>
      </w:tabs>
    </w:pPr>
  </w:style>
  <w:style w:type="character" w:customStyle="1" w:styleId="HeaderChar">
    <w:name w:val="Header Char"/>
    <w:basedOn w:val="DefaultParagraphFont"/>
    <w:link w:val="Header"/>
    <w:uiPriority w:val="99"/>
    <w:locked/>
    <w:rsid w:val="00486A85"/>
    <w:rPr>
      <w:rFonts w:ascii="Open Sans" w:hAnsi="Open Sans" w:cs="Open Sans"/>
      <w:lang w:val="en-GB"/>
    </w:rPr>
  </w:style>
  <w:style w:type="paragraph" w:styleId="Footer">
    <w:name w:val="footer"/>
    <w:basedOn w:val="Normal"/>
    <w:link w:val="FooterChar"/>
    <w:uiPriority w:val="99"/>
    <w:rsid w:val="00BD20B0"/>
    <w:pPr>
      <w:tabs>
        <w:tab w:val="center" w:pos="4536"/>
        <w:tab w:val="right" w:pos="9072"/>
      </w:tabs>
    </w:pPr>
  </w:style>
  <w:style w:type="character" w:customStyle="1" w:styleId="FooterChar">
    <w:name w:val="Footer Char"/>
    <w:basedOn w:val="DefaultParagraphFont"/>
    <w:link w:val="Footer"/>
    <w:uiPriority w:val="99"/>
    <w:locked/>
    <w:rsid w:val="00486A85"/>
    <w:rPr>
      <w:rFonts w:ascii="Open Sans" w:hAnsi="Open Sans" w:cs="Open Sans"/>
      <w:lang w:val="en-GB"/>
    </w:rPr>
  </w:style>
  <w:style w:type="table" w:styleId="TableGrid">
    <w:name w:val="Table Grid"/>
    <w:basedOn w:val="TableNormal"/>
    <w:uiPriority w:val="59"/>
    <w:rsid w:val="00BD20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BD20B0"/>
    <w:rPr>
      <w:rFonts w:cs="Times New Roman"/>
    </w:rPr>
  </w:style>
  <w:style w:type="paragraph" w:styleId="TOC2">
    <w:name w:val="toc 2"/>
    <w:basedOn w:val="Normal"/>
    <w:next w:val="Normal"/>
    <w:autoRedefine/>
    <w:uiPriority w:val="39"/>
    <w:rsid w:val="00BE0E01"/>
    <w:pPr>
      <w:spacing w:before="240" w:after="0"/>
    </w:pPr>
    <w:rPr>
      <w:rFonts w:ascii="Calibri" w:hAnsi="Calibri"/>
      <w:b/>
      <w:bCs/>
    </w:rPr>
  </w:style>
  <w:style w:type="paragraph" w:styleId="TOC3">
    <w:name w:val="toc 3"/>
    <w:basedOn w:val="Normal"/>
    <w:next w:val="Normal"/>
    <w:autoRedefine/>
    <w:uiPriority w:val="39"/>
    <w:rsid w:val="00BE0E01"/>
    <w:pPr>
      <w:spacing w:after="0"/>
      <w:ind w:left="200"/>
    </w:pPr>
    <w:rPr>
      <w:rFonts w:ascii="Calibri" w:hAnsi="Calibri"/>
    </w:rPr>
  </w:style>
  <w:style w:type="character" w:styleId="Hyperlink">
    <w:name w:val="Hyperlink"/>
    <w:basedOn w:val="DefaultParagraphFont"/>
    <w:uiPriority w:val="99"/>
    <w:rsid w:val="00A529B0"/>
    <w:rPr>
      <w:rFonts w:cs="Times New Roman"/>
      <w:color w:val="0000FF"/>
      <w:u w:val="single"/>
    </w:rPr>
  </w:style>
  <w:style w:type="paragraph" w:styleId="List">
    <w:name w:val="List"/>
    <w:basedOn w:val="Normal"/>
    <w:uiPriority w:val="99"/>
    <w:rsid w:val="0046346A"/>
    <w:pPr>
      <w:ind w:left="283" w:hanging="283"/>
    </w:pPr>
  </w:style>
  <w:style w:type="paragraph" w:styleId="BalloonText">
    <w:name w:val="Balloon Text"/>
    <w:basedOn w:val="Normal"/>
    <w:link w:val="BalloonTextChar"/>
    <w:uiPriority w:val="99"/>
    <w:semiHidden/>
    <w:rsid w:val="00767FA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6A85"/>
    <w:rPr>
      <w:rFonts w:ascii="Tahoma" w:hAnsi="Tahoma" w:cs="Tahoma"/>
      <w:sz w:val="16"/>
      <w:szCs w:val="16"/>
      <w:lang w:val="en-GB"/>
    </w:rPr>
  </w:style>
  <w:style w:type="character" w:styleId="CommentReference">
    <w:name w:val="annotation reference"/>
    <w:basedOn w:val="DefaultParagraphFont"/>
    <w:uiPriority w:val="99"/>
    <w:semiHidden/>
    <w:rsid w:val="00767FA5"/>
    <w:rPr>
      <w:rFonts w:cs="Times New Roman"/>
      <w:sz w:val="16"/>
    </w:rPr>
  </w:style>
  <w:style w:type="paragraph" w:styleId="CommentText">
    <w:name w:val="annotation text"/>
    <w:basedOn w:val="Normal"/>
    <w:link w:val="CommentTextChar"/>
    <w:uiPriority w:val="99"/>
    <w:rsid w:val="00767FA5"/>
  </w:style>
  <w:style w:type="character" w:customStyle="1" w:styleId="CommentTextChar">
    <w:name w:val="Comment Text Char"/>
    <w:basedOn w:val="DefaultParagraphFont"/>
    <w:link w:val="CommentText"/>
    <w:uiPriority w:val="99"/>
    <w:locked/>
    <w:rsid w:val="00407A58"/>
    <w:rPr>
      <w:rFonts w:ascii="Open Sans" w:hAnsi="Open Sans" w:cs="Open Sans"/>
      <w:lang w:val="en-GB"/>
    </w:rPr>
  </w:style>
  <w:style w:type="paragraph" w:styleId="CommentSubject">
    <w:name w:val="annotation subject"/>
    <w:basedOn w:val="CommentText"/>
    <w:next w:val="CommentText"/>
    <w:link w:val="CommentSubjectChar"/>
    <w:uiPriority w:val="99"/>
    <w:semiHidden/>
    <w:rsid w:val="00767FA5"/>
    <w:rPr>
      <w:b/>
      <w:bCs/>
    </w:rPr>
  </w:style>
  <w:style w:type="character" w:customStyle="1" w:styleId="CommentSubjectChar">
    <w:name w:val="Comment Subject Char"/>
    <w:basedOn w:val="CommentTextChar"/>
    <w:link w:val="CommentSubject"/>
    <w:uiPriority w:val="99"/>
    <w:semiHidden/>
    <w:locked/>
    <w:rsid w:val="00486A85"/>
    <w:rPr>
      <w:rFonts w:ascii="Open Sans" w:hAnsi="Open Sans" w:cs="Open Sans"/>
      <w:b/>
      <w:bCs/>
      <w:lang w:val="en-GB"/>
    </w:rPr>
  </w:style>
  <w:style w:type="paragraph" w:styleId="FootnoteText">
    <w:name w:val="footnote text"/>
    <w:aliases w:val="Footnote,Char1 Char,Footnote Char1"/>
    <w:basedOn w:val="Normal"/>
    <w:link w:val="FootnoteTextChar"/>
    <w:uiPriority w:val="99"/>
    <w:rsid w:val="000848CA"/>
  </w:style>
  <w:style w:type="character" w:customStyle="1" w:styleId="FootnoteTextChar">
    <w:name w:val="Footnote Text Char"/>
    <w:aliases w:val="Footnote Char,Char1 Char Char,Footnote Char1 Char"/>
    <w:basedOn w:val="DefaultParagraphFont"/>
    <w:link w:val="FootnoteText"/>
    <w:uiPriority w:val="99"/>
    <w:locked/>
    <w:rsid w:val="00A76D7F"/>
    <w:rPr>
      <w:rFonts w:ascii="Open Sans" w:hAnsi="Open Sans" w:cs="Open Sans"/>
      <w:lang w:val="en-GB"/>
    </w:rPr>
  </w:style>
  <w:style w:type="character" w:styleId="FootnoteReference">
    <w:name w:val="footnote reference"/>
    <w:basedOn w:val="DefaultParagraphFont"/>
    <w:uiPriority w:val="99"/>
    <w:semiHidden/>
    <w:rsid w:val="000848CA"/>
    <w:rPr>
      <w:rFonts w:cs="Times New Roman"/>
      <w:vertAlign w:val="superscript"/>
    </w:rPr>
  </w:style>
  <w:style w:type="paragraph" w:styleId="BodyText2">
    <w:name w:val="Body Text 2"/>
    <w:basedOn w:val="Normal"/>
    <w:link w:val="BodyText2Char"/>
    <w:uiPriority w:val="99"/>
    <w:rsid w:val="0030505E"/>
    <w:rPr>
      <w:b/>
      <w:bCs/>
      <w:lang w:val="sl-SI" w:eastAsia="sl-SI"/>
    </w:rPr>
  </w:style>
  <w:style w:type="character" w:customStyle="1" w:styleId="BodyText2Char">
    <w:name w:val="Body Text 2 Char"/>
    <w:basedOn w:val="DefaultParagraphFont"/>
    <w:link w:val="BodyText2"/>
    <w:uiPriority w:val="99"/>
    <w:locked/>
    <w:rsid w:val="00304800"/>
    <w:rPr>
      <w:rFonts w:ascii="Open Sans" w:hAnsi="Open Sans" w:cs="Open Sans"/>
      <w:sz w:val="20"/>
      <w:szCs w:val="20"/>
      <w:lang w:val="en-GB"/>
    </w:rPr>
  </w:style>
  <w:style w:type="paragraph" w:styleId="BodyText">
    <w:name w:val="Body Text"/>
    <w:basedOn w:val="Normal"/>
    <w:link w:val="BodyTextChar"/>
    <w:uiPriority w:val="99"/>
    <w:rsid w:val="007B78D1"/>
    <w:pPr>
      <w:spacing w:after="120"/>
    </w:pPr>
  </w:style>
  <w:style w:type="character" w:customStyle="1" w:styleId="BodyTextChar">
    <w:name w:val="Body Text Char"/>
    <w:basedOn w:val="DefaultParagraphFont"/>
    <w:link w:val="BodyText"/>
    <w:uiPriority w:val="99"/>
    <w:locked/>
    <w:rsid w:val="00486A85"/>
    <w:rPr>
      <w:rFonts w:ascii="Open Sans" w:hAnsi="Open Sans" w:cs="Open Sans"/>
      <w:lang w:val="en-GB"/>
    </w:rPr>
  </w:style>
  <w:style w:type="paragraph" w:customStyle="1" w:styleId="Text2">
    <w:name w:val="Text 2"/>
    <w:basedOn w:val="Normal"/>
    <w:uiPriority w:val="99"/>
    <w:rsid w:val="00891D6C"/>
    <w:pPr>
      <w:tabs>
        <w:tab w:val="left" w:pos="2161"/>
      </w:tabs>
      <w:spacing w:after="240"/>
      <w:ind w:left="1202"/>
    </w:pPr>
    <w:rPr>
      <w:lang w:eastAsia="en-US"/>
    </w:rPr>
  </w:style>
  <w:style w:type="paragraph" w:customStyle="1" w:styleId="NumPar2">
    <w:name w:val="NumPar 2"/>
    <w:basedOn w:val="Normal"/>
    <w:next w:val="Text2"/>
    <w:uiPriority w:val="99"/>
    <w:rsid w:val="00891D6C"/>
    <w:pPr>
      <w:tabs>
        <w:tab w:val="num" w:pos="792"/>
      </w:tabs>
      <w:ind w:left="792" w:hanging="283"/>
    </w:pPr>
    <w:rPr>
      <w:rFonts w:ascii="Times New Roman" w:hAnsi="Times New Roman" w:cs="Times New Roman"/>
      <w:b/>
      <w:bCs/>
      <w:i/>
      <w:iCs/>
      <w:sz w:val="24"/>
      <w:lang w:val="fr-FR" w:eastAsia="en-US"/>
    </w:rPr>
  </w:style>
  <w:style w:type="paragraph" w:styleId="BodyTextIndent3">
    <w:name w:val="Body Text Indent 3"/>
    <w:basedOn w:val="Normal"/>
    <w:link w:val="BodyTextIndent3Char"/>
    <w:uiPriority w:val="99"/>
    <w:rsid w:val="005C3278"/>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304800"/>
    <w:rPr>
      <w:rFonts w:ascii="Open Sans" w:hAnsi="Open Sans" w:cs="Open Sans"/>
      <w:sz w:val="16"/>
      <w:szCs w:val="16"/>
      <w:lang w:val="en-GB"/>
    </w:rPr>
  </w:style>
  <w:style w:type="paragraph" w:styleId="NormalWeb">
    <w:name w:val="Normal (Web)"/>
    <w:basedOn w:val="Normal"/>
    <w:uiPriority w:val="99"/>
    <w:rsid w:val="005C3278"/>
    <w:rPr>
      <w:rFonts w:cs="Arial"/>
      <w:color w:val="000000"/>
      <w:lang w:val="de-DE" w:eastAsia="de-DE"/>
    </w:rPr>
  </w:style>
  <w:style w:type="paragraph" w:styleId="BodyTextIndent">
    <w:name w:val="Body Text Indent"/>
    <w:basedOn w:val="Normal"/>
    <w:link w:val="BodyTextIndentChar"/>
    <w:uiPriority w:val="99"/>
    <w:rsid w:val="005C3278"/>
    <w:pPr>
      <w:spacing w:after="120"/>
      <w:ind w:left="283"/>
    </w:pPr>
  </w:style>
  <w:style w:type="character" w:customStyle="1" w:styleId="BodyTextIndentChar">
    <w:name w:val="Body Text Indent Char"/>
    <w:basedOn w:val="DefaultParagraphFont"/>
    <w:link w:val="BodyTextIndent"/>
    <w:uiPriority w:val="99"/>
    <w:locked/>
    <w:rsid w:val="00FC42DF"/>
    <w:rPr>
      <w:rFonts w:ascii="Open Sans" w:hAnsi="Open Sans" w:cs="Open Sans"/>
      <w:lang w:val="en-GB"/>
    </w:rPr>
  </w:style>
  <w:style w:type="character" w:customStyle="1" w:styleId="titleblack1">
    <w:name w:val="titleblack1"/>
    <w:uiPriority w:val="99"/>
    <w:rsid w:val="005C3278"/>
    <w:rPr>
      <w:rFonts w:ascii="Verdana" w:hAnsi="Verdana"/>
      <w:b/>
      <w:color w:val="000000"/>
      <w:sz w:val="21"/>
      <w:u w:val="none"/>
      <w:effect w:val="none"/>
    </w:rPr>
  </w:style>
  <w:style w:type="character" w:styleId="FollowedHyperlink">
    <w:name w:val="FollowedHyperlink"/>
    <w:basedOn w:val="DefaultParagraphFont"/>
    <w:uiPriority w:val="99"/>
    <w:rsid w:val="00DE0AB3"/>
    <w:rPr>
      <w:rFonts w:cs="Times New Roman"/>
      <w:color w:val="800080"/>
      <w:u w:val="single"/>
    </w:rPr>
  </w:style>
  <w:style w:type="paragraph" w:styleId="TOC1">
    <w:name w:val="toc 1"/>
    <w:basedOn w:val="Normal"/>
    <w:next w:val="Normal"/>
    <w:autoRedefine/>
    <w:uiPriority w:val="39"/>
    <w:rsid w:val="00777E2D"/>
    <w:pPr>
      <w:spacing w:before="360" w:after="0"/>
    </w:pPr>
    <w:rPr>
      <w:rFonts w:ascii="Cambria" w:hAnsi="Cambria"/>
      <w:b/>
      <w:bCs/>
      <w:caps/>
      <w:sz w:val="24"/>
      <w:szCs w:val="24"/>
    </w:rPr>
  </w:style>
  <w:style w:type="paragraph" w:styleId="TOCHeading">
    <w:name w:val="TOC Heading"/>
    <w:basedOn w:val="Heading1"/>
    <w:next w:val="Normal"/>
    <w:uiPriority w:val="99"/>
    <w:qFormat/>
    <w:rsid w:val="004128FA"/>
    <w:pPr>
      <w:spacing w:after="0"/>
      <w:outlineLvl w:val="9"/>
    </w:pPr>
    <w:rPr>
      <w:rFonts w:ascii="Cambria" w:hAnsi="Cambria" w:cs="Times New Roman"/>
      <w:bCs w:val="0"/>
      <w:iCs/>
      <w:smallCaps/>
      <w:color w:val="365F91"/>
      <w:sz w:val="28"/>
      <w:lang w:val="hu-HU"/>
    </w:rPr>
  </w:style>
  <w:style w:type="paragraph" w:styleId="TOC4">
    <w:name w:val="toc 4"/>
    <w:basedOn w:val="Normal"/>
    <w:next w:val="Normal"/>
    <w:autoRedefine/>
    <w:uiPriority w:val="99"/>
    <w:rsid w:val="004128FA"/>
    <w:pPr>
      <w:spacing w:after="0"/>
      <w:ind w:left="400"/>
    </w:pPr>
    <w:rPr>
      <w:rFonts w:ascii="Calibri" w:hAnsi="Calibri"/>
    </w:rPr>
  </w:style>
  <w:style w:type="paragraph" w:styleId="TOC5">
    <w:name w:val="toc 5"/>
    <w:basedOn w:val="Normal"/>
    <w:next w:val="Normal"/>
    <w:autoRedefine/>
    <w:uiPriority w:val="99"/>
    <w:rsid w:val="004128FA"/>
    <w:pPr>
      <w:spacing w:after="0"/>
      <w:ind w:left="600"/>
    </w:pPr>
    <w:rPr>
      <w:rFonts w:ascii="Calibri" w:hAnsi="Calibri"/>
    </w:rPr>
  </w:style>
  <w:style w:type="paragraph" w:styleId="TOC6">
    <w:name w:val="toc 6"/>
    <w:basedOn w:val="Normal"/>
    <w:next w:val="Normal"/>
    <w:autoRedefine/>
    <w:uiPriority w:val="99"/>
    <w:rsid w:val="004128FA"/>
    <w:pPr>
      <w:spacing w:after="0"/>
      <w:ind w:left="800"/>
    </w:pPr>
    <w:rPr>
      <w:rFonts w:ascii="Calibri" w:hAnsi="Calibri"/>
    </w:rPr>
  </w:style>
  <w:style w:type="paragraph" w:styleId="TOC7">
    <w:name w:val="toc 7"/>
    <w:basedOn w:val="Normal"/>
    <w:next w:val="Normal"/>
    <w:autoRedefine/>
    <w:uiPriority w:val="99"/>
    <w:rsid w:val="004128FA"/>
    <w:pPr>
      <w:spacing w:after="0"/>
      <w:ind w:left="1000"/>
    </w:pPr>
    <w:rPr>
      <w:rFonts w:ascii="Calibri" w:hAnsi="Calibri"/>
    </w:rPr>
  </w:style>
  <w:style w:type="paragraph" w:styleId="TOC8">
    <w:name w:val="toc 8"/>
    <w:basedOn w:val="Normal"/>
    <w:next w:val="Normal"/>
    <w:autoRedefine/>
    <w:uiPriority w:val="99"/>
    <w:rsid w:val="004128FA"/>
    <w:pPr>
      <w:spacing w:after="0"/>
      <w:ind w:left="1200"/>
    </w:pPr>
    <w:rPr>
      <w:rFonts w:ascii="Calibri" w:hAnsi="Calibri"/>
    </w:rPr>
  </w:style>
  <w:style w:type="paragraph" w:styleId="TOC9">
    <w:name w:val="toc 9"/>
    <w:basedOn w:val="Normal"/>
    <w:next w:val="Normal"/>
    <w:autoRedefine/>
    <w:uiPriority w:val="99"/>
    <w:rsid w:val="004128FA"/>
    <w:pPr>
      <w:spacing w:after="0"/>
      <w:ind w:left="1400"/>
    </w:pPr>
    <w:rPr>
      <w:rFonts w:ascii="Calibri" w:hAnsi="Calibri"/>
    </w:rPr>
  </w:style>
  <w:style w:type="paragraph" w:styleId="ListParagraph">
    <w:name w:val="List Paragraph"/>
    <w:aliases w:val="body,Odsek zoznamu2"/>
    <w:basedOn w:val="Normal"/>
    <w:link w:val="ListParagraphChar"/>
    <w:uiPriority w:val="34"/>
    <w:qFormat/>
    <w:rsid w:val="00935B29"/>
    <w:pPr>
      <w:spacing w:line="300" w:lineRule="atLeast"/>
      <w:ind w:left="720"/>
      <w:contextualSpacing/>
    </w:pPr>
    <w:rPr>
      <w:rFonts w:cs="Times New Roman"/>
      <w:szCs w:val="22"/>
      <w:lang w:eastAsia="en-US"/>
    </w:rPr>
  </w:style>
  <w:style w:type="character" w:customStyle="1" w:styleId="ListParagraphChar">
    <w:name w:val="List Paragraph Char"/>
    <w:aliases w:val="body Char,Odsek zoznamu2 Char"/>
    <w:basedOn w:val="DefaultParagraphFont"/>
    <w:link w:val="ListParagraph"/>
    <w:uiPriority w:val="99"/>
    <w:locked/>
    <w:rsid w:val="00935B29"/>
    <w:rPr>
      <w:rFonts w:ascii="Open Sans" w:hAnsi="Open Sans"/>
      <w:sz w:val="20"/>
      <w:lang w:val="en-GB" w:eastAsia="en-US"/>
    </w:rPr>
  </w:style>
  <w:style w:type="character" w:customStyle="1" w:styleId="shorttext">
    <w:name w:val="short_text"/>
    <w:basedOn w:val="DefaultParagraphFont"/>
    <w:uiPriority w:val="99"/>
    <w:rsid w:val="00AC1F9B"/>
    <w:rPr>
      <w:rFonts w:cs="Times New Roman"/>
    </w:rPr>
  </w:style>
  <w:style w:type="paragraph" w:styleId="NoSpacing">
    <w:name w:val="No Spacing"/>
    <w:link w:val="NoSpacingChar"/>
    <w:uiPriority w:val="99"/>
    <w:qFormat/>
    <w:rsid w:val="00103C30"/>
    <w:pPr>
      <w:ind w:left="1701"/>
      <w:jc w:val="both"/>
    </w:pPr>
    <w:rPr>
      <w:rFonts w:ascii="Optima" w:hAnsi="Optima"/>
      <w:szCs w:val="20"/>
      <w:lang w:val="en-GB" w:eastAsia="en-GB"/>
    </w:rPr>
  </w:style>
  <w:style w:type="character" w:customStyle="1" w:styleId="NoSpacingChar">
    <w:name w:val="No Spacing Char"/>
    <w:basedOn w:val="DefaultParagraphFont"/>
    <w:link w:val="NoSpacing"/>
    <w:uiPriority w:val="99"/>
    <w:locked/>
    <w:rsid w:val="001E02F4"/>
    <w:rPr>
      <w:rFonts w:ascii="Optima" w:hAnsi="Optima" w:cs="Times New Roman"/>
      <w:sz w:val="22"/>
      <w:lang w:val="en-GB" w:eastAsia="en-GB" w:bidi="ar-SA"/>
    </w:rPr>
  </w:style>
  <w:style w:type="paragraph" w:customStyle="1" w:styleId="Annexetitle">
    <w:name w:val="Annexe_title"/>
    <w:basedOn w:val="Heading1"/>
    <w:next w:val="Normal"/>
    <w:autoRedefine/>
    <w:uiPriority w:val="99"/>
    <w:rsid w:val="00103C30"/>
    <w:pPr>
      <w:spacing w:before="0" w:after="240"/>
      <w:jc w:val="center"/>
      <w:outlineLvl w:val="9"/>
    </w:pPr>
    <w:rPr>
      <w:rFonts w:ascii="Times New Roman" w:hAnsi="Times New Roman" w:cs="Times New Roman"/>
      <w:caps/>
      <w:color w:val="auto"/>
      <w:szCs w:val="20"/>
      <w:lang w:eastAsia="en-GB"/>
    </w:rPr>
  </w:style>
  <w:style w:type="character" w:styleId="Strong">
    <w:name w:val="Strong"/>
    <w:basedOn w:val="DefaultParagraphFont"/>
    <w:uiPriority w:val="99"/>
    <w:qFormat/>
    <w:rsid w:val="00491F08"/>
    <w:rPr>
      <w:rFonts w:cs="Times New Roman"/>
      <w:b/>
    </w:rPr>
  </w:style>
  <w:style w:type="paragraph" w:styleId="Caption">
    <w:name w:val="caption"/>
    <w:basedOn w:val="Normal"/>
    <w:next w:val="Normal"/>
    <w:uiPriority w:val="99"/>
    <w:qFormat/>
    <w:rsid w:val="00B12DB2"/>
    <w:pPr>
      <w:spacing w:line="240" w:lineRule="auto"/>
    </w:pPr>
    <w:rPr>
      <w:b/>
      <w:bCs/>
      <w:color w:val="4F81BD"/>
      <w:sz w:val="18"/>
      <w:szCs w:val="18"/>
    </w:rPr>
  </w:style>
  <w:style w:type="table" w:customStyle="1" w:styleId="Svetlzoznamzvraznenie11">
    <w:name w:val="Svetlý zoznam – zvýraznenie 11"/>
    <w:uiPriority w:val="61"/>
    <w:rsid w:val="00CE43FC"/>
    <w:rPr>
      <w:rFonts w:ascii="Calibri" w:hAnsi="Calibri"/>
      <w:sz w:val="20"/>
      <w:szCs w:val="20"/>
      <w:lang w:val="sk-SK"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np">
    <w:name w:val="np"/>
    <w:basedOn w:val="Normal"/>
    <w:uiPriority w:val="99"/>
    <w:rsid w:val="00486A85"/>
    <w:pPr>
      <w:spacing w:before="100" w:beforeAutospacing="1" w:after="100" w:afterAutospacing="1" w:line="240" w:lineRule="auto"/>
    </w:pPr>
    <w:rPr>
      <w:rFonts w:ascii="Times New Roman" w:hAnsi="Times New Roman" w:cs="Times New Roman"/>
      <w:sz w:val="24"/>
      <w:szCs w:val="24"/>
      <w:lang w:val="sk-SK"/>
    </w:rPr>
  </w:style>
  <w:style w:type="character" w:customStyle="1" w:styleId="highlight">
    <w:name w:val="highlight"/>
    <w:basedOn w:val="DefaultParagraphFont"/>
    <w:uiPriority w:val="99"/>
    <w:rsid w:val="00486A85"/>
    <w:rPr>
      <w:rFonts w:cs="Times New Roman"/>
    </w:rPr>
  </w:style>
  <w:style w:type="character" w:customStyle="1" w:styleId="Bodytext0">
    <w:name w:val="Body text_"/>
    <w:basedOn w:val="DefaultParagraphFont"/>
    <w:link w:val="Szvegtrzs1"/>
    <w:uiPriority w:val="99"/>
    <w:locked/>
    <w:rsid w:val="00486A85"/>
    <w:rPr>
      <w:rFonts w:ascii="Trebuchet MS" w:hAnsi="Trebuchet MS" w:cs="Trebuchet MS"/>
      <w:sz w:val="21"/>
      <w:szCs w:val="21"/>
      <w:shd w:val="clear" w:color="auto" w:fill="FFFFFF"/>
    </w:rPr>
  </w:style>
  <w:style w:type="paragraph" w:customStyle="1" w:styleId="Szvegtrzs1">
    <w:name w:val="Szövegtörzs1"/>
    <w:basedOn w:val="Normal"/>
    <w:link w:val="Bodytext0"/>
    <w:uiPriority w:val="99"/>
    <w:rsid w:val="00486A85"/>
    <w:pPr>
      <w:shd w:val="clear" w:color="auto" w:fill="FFFFFF"/>
      <w:spacing w:after="0" w:line="252" w:lineRule="exact"/>
      <w:ind w:hanging="1800"/>
    </w:pPr>
    <w:rPr>
      <w:rFonts w:ascii="Trebuchet MS" w:hAnsi="Trebuchet MS" w:cs="Trebuchet MS"/>
      <w:sz w:val="21"/>
      <w:szCs w:val="21"/>
      <w:lang w:val="hu-HU"/>
    </w:rPr>
  </w:style>
  <w:style w:type="table" w:styleId="ColorfulGrid-Accent1">
    <w:name w:val="Colorful Grid Accent 1"/>
    <w:basedOn w:val="TableNormal"/>
    <w:uiPriority w:val="99"/>
    <w:rsid w:val="009C6D67"/>
    <w:rPr>
      <w:color w:val="000000"/>
      <w:sz w:val="20"/>
      <w:szCs w:val="2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3-Accent1">
    <w:name w:val="Medium Grid 3 Accent 1"/>
    <w:basedOn w:val="TableNormal"/>
    <w:uiPriority w:val="99"/>
    <w:rsid w:val="007A52F8"/>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tlus87">
    <w:name w:val="Stílus87"/>
    <w:uiPriority w:val="99"/>
    <w:rsid w:val="004B0F84"/>
    <w:rPr>
      <w:rFonts w:ascii="Calibri" w:hAnsi="Calibri" w:cs="Calibri"/>
      <w:color w:val="000000"/>
      <w:sz w:val="24"/>
      <w:szCs w:val="24"/>
    </w:rPr>
    <w:tblPr>
      <w:tblStyleRowBandSize w:val="1"/>
      <w:tblStyleColBandSize w:val="1"/>
      <w:tblInd w:w="0" w:type="dxa"/>
      <w:tblCellMar>
        <w:top w:w="0" w:type="dxa"/>
        <w:left w:w="115" w:type="dxa"/>
        <w:bottom w:w="0" w:type="dxa"/>
        <w:right w:w="115" w:type="dxa"/>
      </w:tblCellMar>
    </w:tblPr>
  </w:style>
  <w:style w:type="table" w:customStyle="1" w:styleId="Stlus86">
    <w:name w:val="Stílus86"/>
    <w:uiPriority w:val="99"/>
    <w:rsid w:val="004B0F84"/>
    <w:rPr>
      <w:rFonts w:ascii="Calibri" w:hAnsi="Calibri" w:cs="Calibri"/>
      <w:color w:val="000000"/>
      <w:sz w:val="24"/>
      <w:szCs w:val="24"/>
    </w:rPr>
    <w:tblPr>
      <w:tblStyleRowBandSize w:val="1"/>
      <w:tblStyleColBandSize w:val="1"/>
      <w:tblInd w:w="0" w:type="dxa"/>
      <w:tblCellMar>
        <w:top w:w="0" w:type="dxa"/>
        <w:left w:w="115" w:type="dxa"/>
        <w:bottom w:w="0" w:type="dxa"/>
        <w:right w:w="115" w:type="dxa"/>
      </w:tblCellMar>
    </w:tblPr>
  </w:style>
  <w:style w:type="table" w:customStyle="1" w:styleId="Stlus42">
    <w:name w:val="Stílus42"/>
    <w:uiPriority w:val="99"/>
    <w:rsid w:val="004B0F84"/>
    <w:rPr>
      <w:rFonts w:ascii="Calibri" w:hAnsi="Calibri" w:cs="Calibri"/>
      <w:color w:val="000000"/>
      <w:sz w:val="24"/>
      <w:szCs w:val="24"/>
    </w:rPr>
    <w:tblPr>
      <w:tblStyleRowBandSize w:val="1"/>
      <w:tblStyleColBandSize w:val="1"/>
      <w:tblInd w:w="0" w:type="dxa"/>
      <w:tblCellMar>
        <w:top w:w="0" w:type="dxa"/>
        <w:left w:w="115" w:type="dxa"/>
        <w:bottom w:w="0" w:type="dxa"/>
        <w:right w:w="115" w:type="dxa"/>
      </w:tblCellMar>
    </w:tblPr>
  </w:style>
  <w:style w:type="paragraph" w:styleId="Revision">
    <w:name w:val="Revision"/>
    <w:hidden/>
    <w:uiPriority w:val="99"/>
    <w:semiHidden/>
    <w:rsid w:val="0004610B"/>
    <w:rPr>
      <w:rFonts w:ascii="Open Sans" w:hAnsi="Open Sans" w:cs="Open Sans"/>
      <w:sz w:val="20"/>
      <w:szCs w:val="20"/>
      <w:lang w:val="en-GB"/>
    </w:rPr>
  </w:style>
  <w:style w:type="paragraph" w:styleId="ListNumber">
    <w:name w:val="List Number"/>
    <w:basedOn w:val="Normal"/>
    <w:uiPriority w:val="99"/>
    <w:semiHidden/>
    <w:rsid w:val="00705DF2"/>
    <w:pPr>
      <w:tabs>
        <w:tab w:val="num" w:pos="360"/>
      </w:tabs>
      <w:ind w:left="360" w:hanging="360"/>
      <w:contextualSpacing/>
    </w:pPr>
  </w:style>
  <w:style w:type="paragraph" w:styleId="Subtitle">
    <w:name w:val="Subtitle"/>
    <w:basedOn w:val="Normal"/>
    <w:next w:val="Normal"/>
    <w:link w:val="SubtitleChar"/>
    <w:uiPriority w:val="11"/>
    <w:qFormat/>
    <w:locked/>
    <w:rsid w:val="009C5FB3"/>
    <w:pPr>
      <w:jc w:val="right"/>
    </w:pPr>
    <w:rPr>
      <w:rFonts w:ascii="Aller" w:eastAsiaTheme="majorEastAsia" w:hAnsi="Aller" w:cstheme="majorBidi"/>
      <w:b/>
      <w:iCs/>
      <w:color w:val="7F7F7F" w:themeColor="text1" w:themeTint="80"/>
      <w:spacing w:val="15"/>
      <w:sz w:val="44"/>
      <w:szCs w:val="24"/>
    </w:rPr>
  </w:style>
  <w:style w:type="character" w:customStyle="1" w:styleId="SubtitleChar">
    <w:name w:val="Subtitle Char"/>
    <w:basedOn w:val="DefaultParagraphFont"/>
    <w:link w:val="Subtitle"/>
    <w:uiPriority w:val="11"/>
    <w:rsid w:val="00A05513"/>
    <w:rPr>
      <w:rFonts w:ascii="Aller" w:eastAsiaTheme="majorEastAsia" w:hAnsi="Aller" w:cstheme="majorBidi"/>
      <w:b/>
      <w:iCs/>
      <w:color w:val="7F7F7F" w:themeColor="text1" w:themeTint="80"/>
      <w:spacing w:val="15"/>
      <w:sz w:val="44"/>
      <w:szCs w:val="24"/>
      <w:lang w:val="en-GB"/>
    </w:rPr>
  </w:style>
  <w:style w:type="character" w:customStyle="1" w:styleId="Heading2Char">
    <w:name w:val="Heading 2 Char"/>
    <w:basedOn w:val="DefaultParagraphFont"/>
    <w:link w:val="Heading2"/>
    <w:uiPriority w:val="4"/>
    <w:rsid w:val="00A05513"/>
    <w:rPr>
      <w:rFonts w:ascii="Aller" w:eastAsiaTheme="majorEastAsia" w:hAnsi="Aller" w:cstheme="majorBidi"/>
      <w:b/>
      <w:bCs/>
      <w:color w:val="7F7F7F" w:themeColor="text1" w:themeTint="80"/>
      <w:sz w:val="26"/>
      <w:szCs w:val="26"/>
      <w:lang w:val="en-GB"/>
    </w:rPr>
  </w:style>
  <w:style w:type="paragraph" w:customStyle="1" w:styleId="Tblzatszveg">
    <w:name w:val="Táblázatszöveg"/>
    <w:basedOn w:val="Normal"/>
    <w:uiPriority w:val="7"/>
    <w:qFormat/>
    <w:rsid w:val="0065702E"/>
    <w:pPr>
      <w:spacing w:after="0"/>
    </w:pPr>
    <w:rPr>
      <w:sz w:val="18"/>
    </w:rPr>
  </w:style>
  <w:style w:type="paragraph" w:customStyle="1" w:styleId="Fejezetcm">
    <w:name w:val="Fejezetcím"/>
    <w:basedOn w:val="Heading1"/>
    <w:uiPriority w:val="2"/>
    <w:qFormat/>
    <w:rsid w:val="00A05513"/>
    <w:pPr>
      <w:jc w:val="right"/>
    </w:pPr>
    <w:rPr>
      <w:color w:val="7F7F7F" w:themeColor="text1" w:themeTint="80"/>
      <w:sz w:val="52"/>
    </w:rPr>
  </w:style>
  <w:style w:type="character" w:styleId="IntenseEmphasis">
    <w:name w:val="Intense Emphasis"/>
    <w:basedOn w:val="DefaultParagraphFont"/>
    <w:uiPriority w:val="21"/>
    <w:qFormat/>
    <w:rsid w:val="00B224E2"/>
    <w:rPr>
      <w:b/>
      <w:bCs/>
      <w:i/>
      <w:iCs/>
      <w:color w:val="4F81BD" w:themeColor="accent1"/>
    </w:rPr>
  </w:style>
  <w:style w:type="character" w:styleId="Emphasis">
    <w:name w:val="Emphasis"/>
    <w:basedOn w:val="DefaultParagraphFont"/>
    <w:uiPriority w:val="20"/>
    <w:qFormat/>
    <w:locked/>
    <w:rsid w:val="00B224E2"/>
    <w:rPr>
      <w:i/>
      <w:iCs/>
    </w:rPr>
  </w:style>
  <w:style w:type="character" w:styleId="PlaceholderText">
    <w:name w:val="Placeholder Text"/>
    <w:basedOn w:val="DefaultParagraphFont"/>
    <w:uiPriority w:val="99"/>
    <w:semiHidden/>
    <w:rsid w:val="00924E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96118">
      <w:bodyDiv w:val="1"/>
      <w:marLeft w:val="0"/>
      <w:marRight w:val="0"/>
      <w:marTop w:val="0"/>
      <w:marBottom w:val="0"/>
      <w:divBdr>
        <w:top w:val="none" w:sz="0" w:space="0" w:color="auto"/>
        <w:left w:val="none" w:sz="0" w:space="0" w:color="auto"/>
        <w:bottom w:val="none" w:sz="0" w:space="0" w:color="auto"/>
        <w:right w:val="none" w:sz="0" w:space="0" w:color="auto"/>
      </w:divBdr>
    </w:div>
    <w:div w:id="184289810">
      <w:bodyDiv w:val="1"/>
      <w:marLeft w:val="0"/>
      <w:marRight w:val="0"/>
      <w:marTop w:val="0"/>
      <w:marBottom w:val="0"/>
      <w:divBdr>
        <w:top w:val="none" w:sz="0" w:space="0" w:color="auto"/>
        <w:left w:val="none" w:sz="0" w:space="0" w:color="auto"/>
        <w:bottom w:val="none" w:sz="0" w:space="0" w:color="auto"/>
        <w:right w:val="none" w:sz="0" w:space="0" w:color="auto"/>
      </w:divBdr>
    </w:div>
    <w:div w:id="222259793">
      <w:bodyDiv w:val="1"/>
      <w:marLeft w:val="0"/>
      <w:marRight w:val="0"/>
      <w:marTop w:val="0"/>
      <w:marBottom w:val="0"/>
      <w:divBdr>
        <w:top w:val="none" w:sz="0" w:space="0" w:color="auto"/>
        <w:left w:val="none" w:sz="0" w:space="0" w:color="auto"/>
        <w:bottom w:val="none" w:sz="0" w:space="0" w:color="auto"/>
        <w:right w:val="none" w:sz="0" w:space="0" w:color="auto"/>
      </w:divBdr>
    </w:div>
    <w:div w:id="416443672">
      <w:marLeft w:val="0"/>
      <w:marRight w:val="0"/>
      <w:marTop w:val="0"/>
      <w:marBottom w:val="0"/>
      <w:divBdr>
        <w:top w:val="none" w:sz="0" w:space="0" w:color="auto"/>
        <w:left w:val="none" w:sz="0" w:space="0" w:color="auto"/>
        <w:bottom w:val="none" w:sz="0" w:space="0" w:color="auto"/>
        <w:right w:val="none" w:sz="0" w:space="0" w:color="auto"/>
      </w:divBdr>
    </w:div>
    <w:div w:id="416443673">
      <w:marLeft w:val="0"/>
      <w:marRight w:val="0"/>
      <w:marTop w:val="0"/>
      <w:marBottom w:val="0"/>
      <w:divBdr>
        <w:top w:val="none" w:sz="0" w:space="0" w:color="auto"/>
        <w:left w:val="none" w:sz="0" w:space="0" w:color="auto"/>
        <w:bottom w:val="none" w:sz="0" w:space="0" w:color="auto"/>
        <w:right w:val="none" w:sz="0" w:space="0" w:color="auto"/>
      </w:divBdr>
    </w:div>
    <w:div w:id="416443674">
      <w:marLeft w:val="0"/>
      <w:marRight w:val="0"/>
      <w:marTop w:val="0"/>
      <w:marBottom w:val="0"/>
      <w:divBdr>
        <w:top w:val="none" w:sz="0" w:space="0" w:color="auto"/>
        <w:left w:val="none" w:sz="0" w:space="0" w:color="auto"/>
        <w:bottom w:val="none" w:sz="0" w:space="0" w:color="auto"/>
        <w:right w:val="none" w:sz="0" w:space="0" w:color="auto"/>
      </w:divBdr>
      <w:divsChild>
        <w:div w:id="416443683">
          <w:marLeft w:val="0"/>
          <w:marRight w:val="0"/>
          <w:marTop w:val="0"/>
          <w:marBottom w:val="0"/>
          <w:divBdr>
            <w:top w:val="none" w:sz="0" w:space="0" w:color="auto"/>
            <w:left w:val="none" w:sz="0" w:space="0" w:color="auto"/>
            <w:bottom w:val="none" w:sz="0" w:space="0" w:color="auto"/>
            <w:right w:val="none" w:sz="0" w:space="0" w:color="auto"/>
          </w:divBdr>
        </w:div>
      </w:divsChild>
    </w:div>
    <w:div w:id="416443675">
      <w:marLeft w:val="0"/>
      <w:marRight w:val="0"/>
      <w:marTop w:val="0"/>
      <w:marBottom w:val="0"/>
      <w:divBdr>
        <w:top w:val="none" w:sz="0" w:space="0" w:color="auto"/>
        <w:left w:val="none" w:sz="0" w:space="0" w:color="auto"/>
        <w:bottom w:val="none" w:sz="0" w:space="0" w:color="auto"/>
        <w:right w:val="none" w:sz="0" w:space="0" w:color="auto"/>
      </w:divBdr>
    </w:div>
    <w:div w:id="416443676">
      <w:marLeft w:val="0"/>
      <w:marRight w:val="0"/>
      <w:marTop w:val="0"/>
      <w:marBottom w:val="0"/>
      <w:divBdr>
        <w:top w:val="none" w:sz="0" w:space="0" w:color="auto"/>
        <w:left w:val="none" w:sz="0" w:space="0" w:color="auto"/>
        <w:bottom w:val="none" w:sz="0" w:space="0" w:color="auto"/>
        <w:right w:val="none" w:sz="0" w:space="0" w:color="auto"/>
      </w:divBdr>
    </w:div>
    <w:div w:id="416443677">
      <w:marLeft w:val="0"/>
      <w:marRight w:val="0"/>
      <w:marTop w:val="0"/>
      <w:marBottom w:val="0"/>
      <w:divBdr>
        <w:top w:val="none" w:sz="0" w:space="0" w:color="auto"/>
        <w:left w:val="none" w:sz="0" w:space="0" w:color="auto"/>
        <w:bottom w:val="none" w:sz="0" w:space="0" w:color="auto"/>
        <w:right w:val="none" w:sz="0" w:space="0" w:color="auto"/>
      </w:divBdr>
    </w:div>
    <w:div w:id="416443679">
      <w:marLeft w:val="0"/>
      <w:marRight w:val="0"/>
      <w:marTop w:val="0"/>
      <w:marBottom w:val="0"/>
      <w:divBdr>
        <w:top w:val="none" w:sz="0" w:space="0" w:color="auto"/>
        <w:left w:val="none" w:sz="0" w:space="0" w:color="auto"/>
        <w:bottom w:val="none" w:sz="0" w:space="0" w:color="auto"/>
        <w:right w:val="none" w:sz="0" w:space="0" w:color="auto"/>
      </w:divBdr>
    </w:div>
    <w:div w:id="416443680">
      <w:marLeft w:val="0"/>
      <w:marRight w:val="0"/>
      <w:marTop w:val="0"/>
      <w:marBottom w:val="0"/>
      <w:divBdr>
        <w:top w:val="none" w:sz="0" w:space="0" w:color="auto"/>
        <w:left w:val="none" w:sz="0" w:space="0" w:color="auto"/>
        <w:bottom w:val="none" w:sz="0" w:space="0" w:color="auto"/>
        <w:right w:val="none" w:sz="0" w:space="0" w:color="auto"/>
      </w:divBdr>
    </w:div>
    <w:div w:id="416443681">
      <w:marLeft w:val="0"/>
      <w:marRight w:val="0"/>
      <w:marTop w:val="0"/>
      <w:marBottom w:val="0"/>
      <w:divBdr>
        <w:top w:val="none" w:sz="0" w:space="0" w:color="auto"/>
        <w:left w:val="none" w:sz="0" w:space="0" w:color="auto"/>
        <w:bottom w:val="none" w:sz="0" w:space="0" w:color="auto"/>
        <w:right w:val="none" w:sz="0" w:space="0" w:color="auto"/>
      </w:divBdr>
    </w:div>
    <w:div w:id="416443682">
      <w:marLeft w:val="0"/>
      <w:marRight w:val="0"/>
      <w:marTop w:val="0"/>
      <w:marBottom w:val="0"/>
      <w:divBdr>
        <w:top w:val="none" w:sz="0" w:space="0" w:color="auto"/>
        <w:left w:val="none" w:sz="0" w:space="0" w:color="auto"/>
        <w:bottom w:val="none" w:sz="0" w:space="0" w:color="auto"/>
        <w:right w:val="none" w:sz="0" w:space="0" w:color="auto"/>
      </w:divBdr>
    </w:div>
    <w:div w:id="416443684">
      <w:marLeft w:val="0"/>
      <w:marRight w:val="0"/>
      <w:marTop w:val="0"/>
      <w:marBottom w:val="0"/>
      <w:divBdr>
        <w:top w:val="none" w:sz="0" w:space="0" w:color="auto"/>
        <w:left w:val="none" w:sz="0" w:space="0" w:color="auto"/>
        <w:bottom w:val="none" w:sz="0" w:space="0" w:color="auto"/>
        <w:right w:val="none" w:sz="0" w:space="0" w:color="auto"/>
      </w:divBdr>
    </w:div>
    <w:div w:id="416443685">
      <w:marLeft w:val="0"/>
      <w:marRight w:val="0"/>
      <w:marTop w:val="0"/>
      <w:marBottom w:val="0"/>
      <w:divBdr>
        <w:top w:val="none" w:sz="0" w:space="0" w:color="auto"/>
        <w:left w:val="none" w:sz="0" w:space="0" w:color="auto"/>
        <w:bottom w:val="none" w:sz="0" w:space="0" w:color="auto"/>
        <w:right w:val="none" w:sz="0" w:space="0" w:color="auto"/>
      </w:divBdr>
    </w:div>
    <w:div w:id="416443686">
      <w:marLeft w:val="0"/>
      <w:marRight w:val="0"/>
      <w:marTop w:val="0"/>
      <w:marBottom w:val="0"/>
      <w:divBdr>
        <w:top w:val="none" w:sz="0" w:space="0" w:color="auto"/>
        <w:left w:val="none" w:sz="0" w:space="0" w:color="auto"/>
        <w:bottom w:val="none" w:sz="0" w:space="0" w:color="auto"/>
        <w:right w:val="none" w:sz="0" w:space="0" w:color="auto"/>
      </w:divBdr>
    </w:div>
    <w:div w:id="416443687">
      <w:marLeft w:val="0"/>
      <w:marRight w:val="0"/>
      <w:marTop w:val="0"/>
      <w:marBottom w:val="0"/>
      <w:divBdr>
        <w:top w:val="none" w:sz="0" w:space="0" w:color="auto"/>
        <w:left w:val="none" w:sz="0" w:space="0" w:color="auto"/>
        <w:bottom w:val="none" w:sz="0" w:space="0" w:color="auto"/>
        <w:right w:val="none" w:sz="0" w:space="0" w:color="auto"/>
      </w:divBdr>
      <w:divsChild>
        <w:div w:id="416443678">
          <w:marLeft w:val="0"/>
          <w:marRight w:val="0"/>
          <w:marTop w:val="0"/>
          <w:marBottom w:val="0"/>
          <w:divBdr>
            <w:top w:val="none" w:sz="0" w:space="0" w:color="auto"/>
            <w:left w:val="none" w:sz="0" w:space="0" w:color="auto"/>
            <w:bottom w:val="none" w:sz="0" w:space="0" w:color="auto"/>
            <w:right w:val="none" w:sz="0" w:space="0" w:color="auto"/>
          </w:divBdr>
        </w:div>
        <w:div w:id="416443689">
          <w:marLeft w:val="0"/>
          <w:marRight w:val="0"/>
          <w:marTop w:val="0"/>
          <w:marBottom w:val="0"/>
          <w:divBdr>
            <w:top w:val="none" w:sz="0" w:space="0" w:color="auto"/>
            <w:left w:val="none" w:sz="0" w:space="0" w:color="auto"/>
            <w:bottom w:val="none" w:sz="0" w:space="0" w:color="auto"/>
            <w:right w:val="none" w:sz="0" w:space="0" w:color="auto"/>
          </w:divBdr>
        </w:div>
        <w:div w:id="416443695">
          <w:marLeft w:val="0"/>
          <w:marRight w:val="0"/>
          <w:marTop w:val="0"/>
          <w:marBottom w:val="0"/>
          <w:divBdr>
            <w:top w:val="none" w:sz="0" w:space="0" w:color="auto"/>
            <w:left w:val="none" w:sz="0" w:space="0" w:color="auto"/>
            <w:bottom w:val="none" w:sz="0" w:space="0" w:color="auto"/>
            <w:right w:val="none" w:sz="0" w:space="0" w:color="auto"/>
          </w:divBdr>
        </w:div>
      </w:divsChild>
    </w:div>
    <w:div w:id="416443688">
      <w:marLeft w:val="0"/>
      <w:marRight w:val="0"/>
      <w:marTop w:val="0"/>
      <w:marBottom w:val="0"/>
      <w:divBdr>
        <w:top w:val="none" w:sz="0" w:space="0" w:color="auto"/>
        <w:left w:val="none" w:sz="0" w:space="0" w:color="auto"/>
        <w:bottom w:val="none" w:sz="0" w:space="0" w:color="auto"/>
        <w:right w:val="none" w:sz="0" w:space="0" w:color="auto"/>
      </w:divBdr>
    </w:div>
    <w:div w:id="416443690">
      <w:marLeft w:val="0"/>
      <w:marRight w:val="0"/>
      <w:marTop w:val="0"/>
      <w:marBottom w:val="0"/>
      <w:divBdr>
        <w:top w:val="none" w:sz="0" w:space="0" w:color="auto"/>
        <w:left w:val="none" w:sz="0" w:space="0" w:color="auto"/>
        <w:bottom w:val="none" w:sz="0" w:space="0" w:color="auto"/>
        <w:right w:val="none" w:sz="0" w:space="0" w:color="auto"/>
      </w:divBdr>
    </w:div>
    <w:div w:id="416443691">
      <w:marLeft w:val="0"/>
      <w:marRight w:val="0"/>
      <w:marTop w:val="0"/>
      <w:marBottom w:val="0"/>
      <w:divBdr>
        <w:top w:val="none" w:sz="0" w:space="0" w:color="auto"/>
        <w:left w:val="none" w:sz="0" w:space="0" w:color="auto"/>
        <w:bottom w:val="none" w:sz="0" w:space="0" w:color="auto"/>
        <w:right w:val="none" w:sz="0" w:space="0" w:color="auto"/>
      </w:divBdr>
    </w:div>
    <w:div w:id="416443692">
      <w:marLeft w:val="0"/>
      <w:marRight w:val="0"/>
      <w:marTop w:val="0"/>
      <w:marBottom w:val="0"/>
      <w:divBdr>
        <w:top w:val="none" w:sz="0" w:space="0" w:color="auto"/>
        <w:left w:val="none" w:sz="0" w:space="0" w:color="auto"/>
        <w:bottom w:val="none" w:sz="0" w:space="0" w:color="auto"/>
        <w:right w:val="none" w:sz="0" w:space="0" w:color="auto"/>
      </w:divBdr>
    </w:div>
    <w:div w:id="416443693">
      <w:marLeft w:val="0"/>
      <w:marRight w:val="0"/>
      <w:marTop w:val="0"/>
      <w:marBottom w:val="0"/>
      <w:divBdr>
        <w:top w:val="none" w:sz="0" w:space="0" w:color="auto"/>
        <w:left w:val="none" w:sz="0" w:space="0" w:color="auto"/>
        <w:bottom w:val="none" w:sz="0" w:space="0" w:color="auto"/>
        <w:right w:val="none" w:sz="0" w:space="0" w:color="auto"/>
      </w:divBdr>
    </w:div>
    <w:div w:id="416443694">
      <w:marLeft w:val="0"/>
      <w:marRight w:val="0"/>
      <w:marTop w:val="0"/>
      <w:marBottom w:val="0"/>
      <w:divBdr>
        <w:top w:val="none" w:sz="0" w:space="0" w:color="auto"/>
        <w:left w:val="none" w:sz="0" w:space="0" w:color="auto"/>
        <w:bottom w:val="none" w:sz="0" w:space="0" w:color="auto"/>
        <w:right w:val="none" w:sz="0" w:space="0" w:color="auto"/>
      </w:divBdr>
    </w:div>
    <w:div w:id="416443696">
      <w:marLeft w:val="0"/>
      <w:marRight w:val="0"/>
      <w:marTop w:val="0"/>
      <w:marBottom w:val="0"/>
      <w:divBdr>
        <w:top w:val="none" w:sz="0" w:space="0" w:color="auto"/>
        <w:left w:val="none" w:sz="0" w:space="0" w:color="auto"/>
        <w:bottom w:val="none" w:sz="0" w:space="0" w:color="auto"/>
        <w:right w:val="none" w:sz="0" w:space="0" w:color="auto"/>
      </w:divBdr>
    </w:div>
    <w:div w:id="416443697">
      <w:marLeft w:val="0"/>
      <w:marRight w:val="0"/>
      <w:marTop w:val="0"/>
      <w:marBottom w:val="0"/>
      <w:divBdr>
        <w:top w:val="none" w:sz="0" w:space="0" w:color="auto"/>
        <w:left w:val="none" w:sz="0" w:space="0" w:color="auto"/>
        <w:bottom w:val="none" w:sz="0" w:space="0" w:color="auto"/>
        <w:right w:val="none" w:sz="0" w:space="0" w:color="auto"/>
      </w:divBdr>
    </w:div>
    <w:div w:id="416443698">
      <w:marLeft w:val="0"/>
      <w:marRight w:val="0"/>
      <w:marTop w:val="0"/>
      <w:marBottom w:val="0"/>
      <w:divBdr>
        <w:top w:val="none" w:sz="0" w:space="0" w:color="auto"/>
        <w:left w:val="none" w:sz="0" w:space="0" w:color="auto"/>
        <w:bottom w:val="none" w:sz="0" w:space="0" w:color="auto"/>
        <w:right w:val="none" w:sz="0" w:space="0" w:color="auto"/>
      </w:divBdr>
    </w:div>
    <w:div w:id="416443699">
      <w:marLeft w:val="0"/>
      <w:marRight w:val="0"/>
      <w:marTop w:val="0"/>
      <w:marBottom w:val="0"/>
      <w:divBdr>
        <w:top w:val="none" w:sz="0" w:space="0" w:color="auto"/>
        <w:left w:val="none" w:sz="0" w:space="0" w:color="auto"/>
        <w:bottom w:val="none" w:sz="0" w:space="0" w:color="auto"/>
        <w:right w:val="none" w:sz="0" w:space="0" w:color="auto"/>
      </w:divBdr>
    </w:div>
    <w:div w:id="416443700">
      <w:marLeft w:val="0"/>
      <w:marRight w:val="0"/>
      <w:marTop w:val="0"/>
      <w:marBottom w:val="0"/>
      <w:divBdr>
        <w:top w:val="none" w:sz="0" w:space="0" w:color="auto"/>
        <w:left w:val="none" w:sz="0" w:space="0" w:color="auto"/>
        <w:bottom w:val="none" w:sz="0" w:space="0" w:color="auto"/>
        <w:right w:val="none" w:sz="0" w:space="0" w:color="auto"/>
      </w:divBdr>
    </w:div>
    <w:div w:id="416443701">
      <w:marLeft w:val="0"/>
      <w:marRight w:val="0"/>
      <w:marTop w:val="0"/>
      <w:marBottom w:val="0"/>
      <w:divBdr>
        <w:top w:val="none" w:sz="0" w:space="0" w:color="auto"/>
        <w:left w:val="none" w:sz="0" w:space="0" w:color="auto"/>
        <w:bottom w:val="none" w:sz="0" w:space="0" w:color="auto"/>
        <w:right w:val="none" w:sz="0" w:space="0" w:color="auto"/>
      </w:divBdr>
    </w:div>
    <w:div w:id="416443702">
      <w:marLeft w:val="0"/>
      <w:marRight w:val="0"/>
      <w:marTop w:val="0"/>
      <w:marBottom w:val="0"/>
      <w:divBdr>
        <w:top w:val="none" w:sz="0" w:space="0" w:color="auto"/>
        <w:left w:val="none" w:sz="0" w:space="0" w:color="auto"/>
        <w:bottom w:val="none" w:sz="0" w:space="0" w:color="auto"/>
        <w:right w:val="none" w:sz="0" w:space="0" w:color="auto"/>
      </w:divBdr>
    </w:div>
    <w:div w:id="416443703">
      <w:marLeft w:val="0"/>
      <w:marRight w:val="0"/>
      <w:marTop w:val="0"/>
      <w:marBottom w:val="0"/>
      <w:divBdr>
        <w:top w:val="none" w:sz="0" w:space="0" w:color="auto"/>
        <w:left w:val="none" w:sz="0" w:space="0" w:color="auto"/>
        <w:bottom w:val="none" w:sz="0" w:space="0" w:color="auto"/>
        <w:right w:val="none" w:sz="0" w:space="0" w:color="auto"/>
      </w:divBdr>
    </w:div>
    <w:div w:id="416443704">
      <w:marLeft w:val="0"/>
      <w:marRight w:val="0"/>
      <w:marTop w:val="0"/>
      <w:marBottom w:val="0"/>
      <w:divBdr>
        <w:top w:val="none" w:sz="0" w:space="0" w:color="auto"/>
        <w:left w:val="none" w:sz="0" w:space="0" w:color="auto"/>
        <w:bottom w:val="none" w:sz="0" w:space="0" w:color="auto"/>
        <w:right w:val="none" w:sz="0" w:space="0" w:color="auto"/>
      </w:divBdr>
    </w:div>
    <w:div w:id="416443705">
      <w:marLeft w:val="0"/>
      <w:marRight w:val="0"/>
      <w:marTop w:val="0"/>
      <w:marBottom w:val="0"/>
      <w:divBdr>
        <w:top w:val="none" w:sz="0" w:space="0" w:color="auto"/>
        <w:left w:val="none" w:sz="0" w:space="0" w:color="auto"/>
        <w:bottom w:val="none" w:sz="0" w:space="0" w:color="auto"/>
        <w:right w:val="none" w:sz="0" w:space="0" w:color="auto"/>
      </w:divBdr>
    </w:div>
    <w:div w:id="416443706">
      <w:marLeft w:val="0"/>
      <w:marRight w:val="0"/>
      <w:marTop w:val="0"/>
      <w:marBottom w:val="0"/>
      <w:divBdr>
        <w:top w:val="none" w:sz="0" w:space="0" w:color="auto"/>
        <w:left w:val="none" w:sz="0" w:space="0" w:color="auto"/>
        <w:bottom w:val="none" w:sz="0" w:space="0" w:color="auto"/>
        <w:right w:val="none" w:sz="0" w:space="0" w:color="auto"/>
      </w:divBdr>
    </w:div>
    <w:div w:id="416443707">
      <w:marLeft w:val="0"/>
      <w:marRight w:val="0"/>
      <w:marTop w:val="0"/>
      <w:marBottom w:val="0"/>
      <w:divBdr>
        <w:top w:val="none" w:sz="0" w:space="0" w:color="auto"/>
        <w:left w:val="none" w:sz="0" w:space="0" w:color="auto"/>
        <w:bottom w:val="none" w:sz="0" w:space="0" w:color="auto"/>
        <w:right w:val="none" w:sz="0" w:space="0" w:color="auto"/>
      </w:divBdr>
    </w:div>
    <w:div w:id="769202550">
      <w:bodyDiv w:val="1"/>
      <w:marLeft w:val="0"/>
      <w:marRight w:val="0"/>
      <w:marTop w:val="0"/>
      <w:marBottom w:val="0"/>
      <w:divBdr>
        <w:top w:val="none" w:sz="0" w:space="0" w:color="auto"/>
        <w:left w:val="none" w:sz="0" w:space="0" w:color="auto"/>
        <w:bottom w:val="none" w:sz="0" w:space="0" w:color="auto"/>
        <w:right w:val="none" w:sz="0" w:space="0" w:color="auto"/>
      </w:divBdr>
    </w:div>
    <w:div w:id="1014502574">
      <w:bodyDiv w:val="1"/>
      <w:marLeft w:val="0"/>
      <w:marRight w:val="0"/>
      <w:marTop w:val="0"/>
      <w:marBottom w:val="0"/>
      <w:divBdr>
        <w:top w:val="none" w:sz="0" w:space="0" w:color="auto"/>
        <w:left w:val="none" w:sz="0" w:space="0" w:color="auto"/>
        <w:bottom w:val="none" w:sz="0" w:space="0" w:color="auto"/>
        <w:right w:val="none" w:sz="0" w:space="0" w:color="auto"/>
      </w:divBdr>
    </w:div>
    <w:div w:id="1166481179">
      <w:bodyDiv w:val="1"/>
      <w:marLeft w:val="0"/>
      <w:marRight w:val="0"/>
      <w:marTop w:val="0"/>
      <w:marBottom w:val="0"/>
      <w:divBdr>
        <w:top w:val="none" w:sz="0" w:space="0" w:color="auto"/>
        <w:left w:val="none" w:sz="0" w:space="0" w:color="auto"/>
        <w:bottom w:val="none" w:sz="0" w:space="0" w:color="auto"/>
        <w:right w:val="none" w:sz="0" w:space="0" w:color="auto"/>
      </w:divBdr>
    </w:div>
    <w:div w:id="1330405401">
      <w:bodyDiv w:val="1"/>
      <w:marLeft w:val="0"/>
      <w:marRight w:val="0"/>
      <w:marTop w:val="0"/>
      <w:marBottom w:val="0"/>
      <w:divBdr>
        <w:top w:val="none" w:sz="0" w:space="0" w:color="auto"/>
        <w:left w:val="none" w:sz="0" w:space="0" w:color="auto"/>
        <w:bottom w:val="none" w:sz="0" w:space="0" w:color="auto"/>
        <w:right w:val="none" w:sz="0" w:space="0" w:color="auto"/>
      </w:divBdr>
    </w:div>
    <w:div w:id="1515070312">
      <w:bodyDiv w:val="1"/>
      <w:marLeft w:val="0"/>
      <w:marRight w:val="0"/>
      <w:marTop w:val="0"/>
      <w:marBottom w:val="0"/>
      <w:divBdr>
        <w:top w:val="none" w:sz="0" w:space="0" w:color="auto"/>
        <w:left w:val="none" w:sz="0" w:space="0" w:color="auto"/>
        <w:bottom w:val="none" w:sz="0" w:space="0" w:color="auto"/>
        <w:right w:val="none" w:sz="0" w:space="0" w:color="auto"/>
      </w:divBdr>
    </w:div>
    <w:div w:id="1615285341">
      <w:bodyDiv w:val="1"/>
      <w:marLeft w:val="0"/>
      <w:marRight w:val="0"/>
      <w:marTop w:val="0"/>
      <w:marBottom w:val="0"/>
      <w:divBdr>
        <w:top w:val="none" w:sz="0" w:space="0" w:color="auto"/>
        <w:left w:val="none" w:sz="0" w:space="0" w:color="auto"/>
        <w:bottom w:val="none" w:sz="0" w:space="0" w:color="auto"/>
        <w:right w:val="none" w:sz="0" w:space="0" w:color="auto"/>
      </w:divBdr>
    </w:div>
    <w:div w:id="1719547352">
      <w:bodyDiv w:val="1"/>
      <w:marLeft w:val="0"/>
      <w:marRight w:val="0"/>
      <w:marTop w:val="0"/>
      <w:marBottom w:val="0"/>
      <w:divBdr>
        <w:top w:val="none" w:sz="0" w:space="0" w:color="auto"/>
        <w:left w:val="none" w:sz="0" w:space="0" w:color="auto"/>
        <w:bottom w:val="none" w:sz="0" w:space="0" w:color="auto"/>
        <w:right w:val="none" w:sz="0" w:space="0" w:color="auto"/>
      </w:divBdr>
    </w:div>
    <w:div w:id="1862813325">
      <w:bodyDiv w:val="1"/>
      <w:marLeft w:val="0"/>
      <w:marRight w:val="0"/>
      <w:marTop w:val="0"/>
      <w:marBottom w:val="0"/>
      <w:divBdr>
        <w:top w:val="none" w:sz="0" w:space="0" w:color="auto"/>
        <w:left w:val="none" w:sz="0" w:space="0" w:color="auto"/>
        <w:bottom w:val="none" w:sz="0" w:space="0" w:color="auto"/>
        <w:right w:val="none" w:sz="0" w:space="0" w:color="auto"/>
      </w:divBdr>
    </w:div>
    <w:div w:id="192283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eur-lex.europa.eu/legal-content/EN/TXT/HTML/?uri=CELEX:32014R0651&amp;from=HU" TargetMode="External"/><Relationship Id="rId4" Type="http://schemas.microsoft.com/office/2007/relationships/stylesWithEffects" Target="stylesWithEffects.xml"/><Relationship Id="rId9" Type="http://schemas.openxmlformats.org/officeDocument/2006/relationships/hyperlink" Target="http://eur-lex.europa.eu/legal-content/EN/TXT/HTML/?uri=CELEX:32013R1407&amp;from=en" TargetMode="External"/><Relationship Id="rId14" Type="http://schemas.openxmlformats.org/officeDocument/2006/relationships/hyperlink" Target="http://eur-lex.europa.eu/legal-content/EN/TXT/HTML/?uri=CELEX:32014R0651&amp;from=EN"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1A9FD-AAB7-4803-B7EC-DB923D544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5849</Words>
  <Characters>32078</Characters>
  <Application>Microsoft Office Word</Application>
  <DocSecurity>0</DocSecurity>
  <Lines>267</Lines>
  <Paragraphs>75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CALL FOR PROPOSAL</vt:lpstr>
      <vt:lpstr>CALL FOR PROPOSAL</vt:lpstr>
    </vt:vector>
  </TitlesOfParts>
  <Company/>
  <LinksUpToDate>false</LinksUpToDate>
  <CharactersWithSpaces>37852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III</dc:title>
  <dc:creator>JS</dc:creator>
  <cp:keywords>SKHU/1601</cp:keywords>
  <cp:lastModifiedBy>Strizencova Lenka</cp:lastModifiedBy>
  <cp:revision>4</cp:revision>
  <cp:lastPrinted>2016-02-11T16:46:00Z</cp:lastPrinted>
  <dcterms:created xsi:type="dcterms:W3CDTF">2016-07-28T15:48:00Z</dcterms:created>
  <dcterms:modified xsi:type="dcterms:W3CDTF">2018-03-05T12:24:00Z</dcterms:modified>
</cp:coreProperties>
</file>