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BE" w:rsidRPr="005A52BE" w:rsidRDefault="005A52BE" w:rsidP="005A52BE">
      <w:pPr>
        <w:jc w:val="right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466817" cy="105590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22" cy="10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  <w:r>
        <w:rPr>
          <w:noProof/>
        </w:rPr>
        <w:drawing>
          <wp:inline distT="0" distB="0" distL="0" distR="0" wp14:anchorId="73865080" wp14:editId="02CB3B1C">
            <wp:extent cx="923925" cy="923925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BE" w:rsidRPr="005A52BE" w:rsidRDefault="005A52BE" w:rsidP="005A52BE">
      <w:pPr>
        <w:spacing w:after="0" w:line="240" w:lineRule="auto"/>
        <w:jc w:val="center"/>
        <w:textAlignment w:val="baseline"/>
        <w:outlineLvl w:val="0"/>
        <w:rPr>
          <w:rFonts w:eastAsia="Times New Roman" w:cs="Helvetica"/>
          <w:b/>
          <w:kern w:val="36"/>
          <w:sz w:val="40"/>
          <w:szCs w:val="40"/>
          <w:lang w:eastAsia="hu-HU"/>
        </w:rPr>
      </w:pPr>
      <w:proofErr w:type="spellStart"/>
      <w:r>
        <w:rPr>
          <w:rFonts w:eastAsia="Times New Roman" w:cs="Helvetica"/>
          <w:b/>
          <w:kern w:val="36"/>
          <w:sz w:val="40"/>
          <w:szCs w:val="40"/>
          <w:lang w:eastAsia="hu-HU"/>
        </w:rPr>
        <w:t>Invitation</w:t>
      </w:r>
      <w:proofErr w:type="spellEnd"/>
      <w:r>
        <w:rPr>
          <w:rFonts w:eastAsia="Times New Roman" w:cs="Helvetica"/>
          <w:b/>
          <w:kern w:val="36"/>
          <w:sz w:val="40"/>
          <w:szCs w:val="40"/>
          <w:lang w:eastAsia="hu-HU"/>
        </w:rPr>
        <w:t xml:space="preserve"> and </w:t>
      </w:r>
      <w:proofErr w:type="spellStart"/>
      <w:r>
        <w:rPr>
          <w:rFonts w:eastAsia="Times New Roman" w:cs="Helvetica"/>
          <w:b/>
          <w:kern w:val="36"/>
          <w:sz w:val="40"/>
          <w:szCs w:val="40"/>
          <w:lang w:eastAsia="hu-HU"/>
        </w:rPr>
        <w:t>Programme</w:t>
      </w:r>
      <w:proofErr w:type="spellEnd"/>
    </w:p>
    <w:p w:rsidR="005A52BE" w:rsidRDefault="005A52BE" w:rsidP="005A52BE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b/>
          <w:kern w:val="36"/>
          <w:sz w:val="24"/>
          <w:szCs w:val="24"/>
          <w:lang w:eastAsia="hu-HU"/>
        </w:rPr>
      </w:pPr>
    </w:p>
    <w:p w:rsidR="005A52BE" w:rsidRPr="005A52BE" w:rsidRDefault="005A52BE" w:rsidP="005A52BE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b/>
          <w:kern w:val="36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Interreg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SKHU CBC EYES project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training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for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startups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in co-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operation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with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the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and South-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East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Asia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IPR SME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Helpdesk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: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Doing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Business in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Asia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: the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importance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of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Intellectual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Property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protection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enforcement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 xml:space="preserve"> – 20 </w:t>
      </w:r>
      <w:proofErr w:type="spellStart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June</w:t>
      </w:r>
      <w:proofErr w:type="spellEnd"/>
      <w:r w:rsidRPr="005A52BE">
        <w:rPr>
          <w:rFonts w:eastAsia="Times New Roman" w:cs="Helvetica"/>
          <w:b/>
          <w:kern w:val="36"/>
          <w:sz w:val="24"/>
          <w:szCs w:val="24"/>
          <w:lang w:eastAsia="hu-HU"/>
        </w:rPr>
        <w:t>, 2018</w:t>
      </w:r>
    </w:p>
    <w:p w:rsidR="005A52BE" w:rsidRPr="005A52BE" w:rsidRDefault="005A52BE" w:rsidP="005A52BE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color w:val="3B3B3B"/>
          <w:kern w:val="36"/>
          <w:sz w:val="24"/>
          <w:szCs w:val="24"/>
          <w:lang w:eastAsia="hu-HU"/>
        </w:rPr>
      </w:pPr>
    </w:p>
    <w:p w:rsid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Both South-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East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Asia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China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are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growth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markets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which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provide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ample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opportunities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for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Hungarian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businesses.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Yet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the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process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of entering and/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or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remaining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in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foreign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markets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requires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patience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perseverance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and the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right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preparation,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such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finding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a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trustworthy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business partner and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bridging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cultural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gaps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.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One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of the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elements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that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is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often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neglected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especially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amongst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SMEs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is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protection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of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Intellectual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Property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Rights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(IPR) (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e.g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.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trademarks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patents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copyrights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trade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secrets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industrial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designs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).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These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rights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are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your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core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business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asset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and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need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to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be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protected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not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only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within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the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confines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of Hungary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or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the EU,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but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especially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when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entering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foreign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markets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where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your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products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might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be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at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risk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of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being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copied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. A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strong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IP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strategy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portfolio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is a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key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to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attracting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investors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, and a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key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to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success</w:t>
      </w:r>
      <w:proofErr w:type="spellEnd"/>
      <w:r w:rsidRPr="005A52BE">
        <w:rPr>
          <w:rFonts w:eastAsia="Times New Roman" w:cs="Helvetica"/>
          <w:bCs/>
          <w:sz w:val="24"/>
          <w:szCs w:val="24"/>
          <w:bdr w:val="none" w:sz="0" w:space="0" w:color="auto" w:frame="1"/>
          <w:lang w:eastAsia="hu-HU"/>
        </w:rPr>
        <w:t>.</w:t>
      </w: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sz w:val="24"/>
          <w:szCs w:val="24"/>
          <w:lang w:eastAsia="hu-HU"/>
        </w:rPr>
        <w:t xml:space="preserve">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this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event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IPR SME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Helpdesk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expert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> </w:t>
      </w:r>
      <w:r w:rsidRPr="007941FE">
        <w:rPr>
          <w:rFonts w:eastAsia="Times New Roman" w:cs="Helvetica"/>
          <w:b/>
          <w:i/>
          <w:iCs/>
          <w:sz w:val="24"/>
          <w:szCs w:val="24"/>
          <w:bdr w:val="none" w:sz="0" w:space="0" w:color="auto" w:frame="1"/>
          <w:lang w:eastAsia="hu-HU"/>
        </w:rPr>
        <w:t xml:space="preserve">Michal </w:t>
      </w:r>
      <w:proofErr w:type="spellStart"/>
      <w:r w:rsidRPr="007941FE">
        <w:rPr>
          <w:rFonts w:eastAsia="Times New Roman" w:cs="Helvetica"/>
          <w:b/>
          <w:i/>
          <w:iCs/>
          <w:sz w:val="24"/>
          <w:szCs w:val="24"/>
          <w:bdr w:val="none" w:sz="0" w:space="0" w:color="auto" w:frame="1"/>
          <w:lang w:eastAsia="hu-HU"/>
        </w:rPr>
        <w:t>Klaczynski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> 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will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introduce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how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best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prepare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terms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of IPR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when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going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South-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East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Asia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>.</w:t>
      </w:r>
    </w:p>
    <w:p w:rsidR="005A52BE" w:rsidRPr="005A52BE" w:rsidRDefault="005A52BE" w:rsidP="005A52BE">
      <w:pPr>
        <w:shd w:val="clear" w:color="auto" w:fill="FCFCFC"/>
        <w:spacing w:before="240" w:after="24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sz w:val="24"/>
          <w:szCs w:val="24"/>
          <w:lang w:eastAsia="hu-HU"/>
        </w:rPr>
        <w:t xml:space="preserve">The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following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themes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will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be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discussed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>:</w:t>
      </w:r>
    </w:p>
    <w:p w:rsidR="005A52BE" w:rsidRPr="005A52BE" w:rsidRDefault="005A52BE" w:rsidP="005A52BE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Different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types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of IP (copyright,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trademarks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trade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secrets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patents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designs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>)</w:t>
      </w:r>
    </w:p>
    <w:p w:rsidR="005A52BE" w:rsidRPr="005A52BE" w:rsidRDefault="005A52BE" w:rsidP="005A52BE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sz w:val="24"/>
          <w:szCs w:val="24"/>
          <w:lang w:eastAsia="hu-HU"/>
        </w:rPr>
        <w:t xml:space="preserve">IP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Regime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South-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East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Asia</w:t>
      </w:r>
      <w:proofErr w:type="spellEnd"/>
    </w:p>
    <w:p w:rsidR="005A52BE" w:rsidRPr="005A52BE" w:rsidRDefault="005A52BE" w:rsidP="005A52BE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Prevention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enforcement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mechanisms</w:t>
      </w:r>
      <w:proofErr w:type="spellEnd"/>
    </w:p>
    <w:p w:rsidR="005A52BE" w:rsidRPr="005A52BE" w:rsidRDefault="005A52BE" w:rsidP="005A52BE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Practical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do’s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don’t’s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with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regards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IP</w:t>
      </w:r>
    </w:p>
    <w:p w:rsidR="005A52BE" w:rsidRPr="005A52BE" w:rsidRDefault="005A52BE" w:rsidP="005A52BE">
      <w:pPr>
        <w:numPr>
          <w:ilvl w:val="0"/>
          <w:numId w:val="1"/>
        </w:num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Case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Studies</w:t>
      </w:r>
      <w:proofErr w:type="spellEnd"/>
    </w:p>
    <w:p w:rsidR="005A52BE" w:rsidRPr="005A52BE" w:rsidRDefault="005A52BE" w:rsidP="005A52BE">
      <w:pPr>
        <w:shd w:val="clear" w:color="auto" w:fill="FCFCFC"/>
        <w:spacing w:before="240" w:after="24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>
        <w:rPr>
          <w:rFonts w:eastAsia="Times New Roman" w:cs="Helvetica"/>
          <w:sz w:val="24"/>
          <w:szCs w:val="24"/>
          <w:lang w:eastAsia="hu-HU"/>
        </w:rPr>
        <w:t xml:space="preserve">The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expert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could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also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be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available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for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one-on-one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consultations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after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the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presentation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>.</w:t>
      </w: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 xml:space="preserve">The </w:t>
      </w:r>
      <w:proofErr w:type="spellStart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trainer</w:t>
      </w:r>
      <w:proofErr w:type="spellEnd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will</w:t>
      </w:r>
      <w:proofErr w:type="spellEnd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 xml:space="preserve"> be 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Michal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Klaczynski</w:t>
      </w:r>
      <w:proofErr w:type="spellEnd"/>
    </w:p>
    <w:p w:rsid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Firm</w:t>
      </w:r>
      <w:proofErr w:type="spellEnd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:</w:t>
      </w:r>
      <w:r w:rsidRPr="005A52BE">
        <w:rPr>
          <w:rFonts w:eastAsia="Times New Roman" w:cs="Helvetica"/>
          <w:sz w:val="24"/>
          <w:szCs w:val="24"/>
          <w:lang w:eastAsia="hu-HU"/>
        </w:rPr>
        <w:t> 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Klaczynski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Legal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Consulting</w:t>
      </w: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:rsid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990600" cy="1304925"/>
            <wp:effectExtent l="0" t="0" r="0" b="9525"/>
            <wp:docPr id="3" name="Kép 3" descr="http://bvk.hu/wp-content/uploads/2018/06/michal_klaczynski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vk.hu/wp-content/uploads/2018/06/michal_klaczynski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2BE"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eastAsia="hu-HU"/>
        </w:rPr>
        <w:t xml:space="preserve">Michal </w:t>
      </w:r>
      <w:proofErr w:type="spellStart"/>
      <w:r w:rsidRPr="005A52BE">
        <w:rPr>
          <w:rFonts w:eastAsia="Times New Roman" w:cs="Helvetica"/>
          <w:i/>
          <w:iCs/>
          <w:sz w:val="24"/>
          <w:szCs w:val="24"/>
          <w:bdr w:val="none" w:sz="0" w:space="0" w:color="auto" w:frame="1"/>
          <w:lang w:eastAsia="hu-HU"/>
        </w:rPr>
        <w:t>Klaczynski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 has over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ten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years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experience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both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Polish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international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practices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now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runs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his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own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consulting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firm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specialising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international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transactions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regulatory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matters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including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assistance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Chinese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business and IP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related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lastRenderedPageBreak/>
        <w:t>matters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.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His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experience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includes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assisting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companies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establishing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gramStart"/>
      <w:r w:rsidRPr="005A52BE">
        <w:rPr>
          <w:rFonts w:eastAsia="Times New Roman" w:cs="Helvetica"/>
          <w:sz w:val="24"/>
          <w:szCs w:val="24"/>
          <w:lang w:eastAsia="hu-HU"/>
        </w:rPr>
        <w:t>business in</w:t>
      </w:r>
      <w:proofErr w:type="gram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advising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foreign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direct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investment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regulations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negotiating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joint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venture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agreements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. 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also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advises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various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aspects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of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Chinese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copyright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law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trade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secrets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trademarks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well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negotiating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licensing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manufacturing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distribution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agreements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related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operations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. Michal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graduated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from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Harvard Law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School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(LL.M.)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Jagiellonian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University; Poland. 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studied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Sichuan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United University (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Chengdu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), and is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currently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working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his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doctoral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degree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international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law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>.</w:t>
      </w: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:rsid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r w:rsidRPr="005A52BE">
        <w:rPr>
          <w:rFonts w:eastAsia="Times New Roman" w:cs="Helvetica"/>
          <w:noProof/>
          <w:sz w:val="24"/>
          <w:szCs w:val="24"/>
          <w:bdr w:val="none" w:sz="0" w:space="0" w:color="auto" w:frame="1"/>
          <w:lang w:eastAsia="hu-HU"/>
        </w:rPr>
        <w:drawing>
          <wp:inline distT="0" distB="0" distL="0" distR="0">
            <wp:extent cx="2133600" cy="619125"/>
            <wp:effectExtent l="0" t="0" r="0" b="9525"/>
            <wp:docPr id="2" name="Kép 2" descr="http://bvk.hu/wp-content/uploads/2018/06/China-IPR-002_edited-300x87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vk.hu/wp-content/uploads/2018/06/China-IPR-002_edited-300x87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The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South-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East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Asia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IPR SME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Helpdesk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supports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European Union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Small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Medium-sized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Enterprises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(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SMEs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)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both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protect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enforce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their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Intellectual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Property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Rights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(IPR) in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or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relating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Mainland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China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Hong Kong,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Macao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Taiwan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gramStart"/>
      <w:r w:rsidRPr="005A52BE">
        <w:rPr>
          <w:rFonts w:eastAsia="Times New Roman" w:cs="Helvetica"/>
          <w:sz w:val="24"/>
          <w:szCs w:val="24"/>
          <w:lang w:eastAsia="hu-HU"/>
        </w:rPr>
        <w:t>and in</w:t>
      </w:r>
      <w:proofErr w:type="gramEnd"/>
      <w:r w:rsidRPr="005A52BE">
        <w:rPr>
          <w:rFonts w:eastAsia="Times New Roman" w:cs="Helvetica"/>
          <w:sz w:val="24"/>
          <w:szCs w:val="24"/>
          <w:lang w:eastAsia="hu-HU"/>
        </w:rPr>
        <w:t xml:space="preserve"> South-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East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Asia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through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the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provision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of free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information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services.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These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take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the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form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of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jargon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-free,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first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-line,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confidential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advice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intellectual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property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related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issues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plus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training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,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materials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and online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resources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. The IPR SME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Helpdesk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project is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funded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by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the European Union and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builds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on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the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achievements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of a pilot project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since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2008.</w:t>
      </w: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Date</w:t>
      </w:r>
      <w:proofErr w:type="spellEnd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:</w:t>
      </w:r>
      <w:r w:rsidRPr="005A52BE">
        <w:rPr>
          <w:rFonts w:eastAsia="Times New Roman" w:cs="Helvetica"/>
          <w:sz w:val="24"/>
          <w:szCs w:val="24"/>
          <w:lang w:eastAsia="hu-HU"/>
        </w:rPr>
        <w:t xml:space="preserve"> 20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June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2018, 14:00 – 16:00</w:t>
      </w:r>
    </w:p>
    <w:p w:rsid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  <w:proofErr w:type="spellStart"/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Venue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: Budapest Enterprise </w:t>
      </w:r>
      <w:proofErr w:type="spellStart"/>
      <w:r w:rsidRPr="005A52BE">
        <w:rPr>
          <w:rFonts w:eastAsia="Times New Roman" w:cs="Helvetica"/>
          <w:sz w:val="24"/>
          <w:szCs w:val="24"/>
          <w:lang w:eastAsia="hu-HU"/>
        </w:rPr>
        <w:t>Agency</w:t>
      </w:r>
      <w:proofErr w:type="spellEnd"/>
      <w:r w:rsidRPr="005A52BE">
        <w:rPr>
          <w:rFonts w:eastAsia="Times New Roman" w:cs="Helvetica"/>
          <w:sz w:val="24"/>
          <w:szCs w:val="24"/>
          <w:lang w:eastAsia="hu-HU"/>
        </w:rPr>
        <w:t xml:space="preserve"> HQ</w:t>
      </w:r>
      <w:r w:rsidRPr="005A52BE"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  <w:t>, </w:t>
      </w:r>
      <w:r w:rsidRPr="005A52BE">
        <w:rPr>
          <w:rFonts w:eastAsia="Times New Roman" w:cs="Helvetica"/>
          <w:sz w:val="24"/>
          <w:szCs w:val="24"/>
          <w:lang w:eastAsia="hu-HU"/>
        </w:rPr>
        <w:t>H-1072 Budapest, Rákóczi út 18.</w:t>
      </w:r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:rsidR="005A52BE" w:rsidRPr="005A52BE" w:rsidRDefault="005A52BE" w:rsidP="005A52BE">
      <w:pPr>
        <w:spacing w:line="240" w:lineRule="auto"/>
        <w:jc w:val="both"/>
        <w:rPr>
          <w:rFonts w:cs="Helvetica"/>
          <w:sz w:val="24"/>
          <w:szCs w:val="24"/>
          <w:shd w:val="clear" w:color="auto" w:fill="FCFCFC"/>
        </w:rPr>
      </w:pPr>
      <w:r w:rsidRPr="005A52BE">
        <w:rPr>
          <w:rFonts w:cs="Helvetica"/>
          <w:sz w:val="24"/>
          <w:szCs w:val="24"/>
          <w:shd w:val="clear" w:color="auto" w:fill="FCFCFC"/>
        </w:rPr>
        <w:t>The workshop is free</w:t>
      </w:r>
      <w:r w:rsidR="007941FE">
        <w:rPr>
          <w:rFonts w:cs="Helvetica"/>
          <w:sz w:val="24"/>
          <w:szCs w:val="24"/>
          <w:shd w:val="clear" w:color="auto" w:fill="FCFCFC"/>
        </w:rPr>
        <w:t xml:space="preserve"> </w:t>
      </w:r>
      <w:proofErr w:type="spellStart"/>
      <w:r w:rsidR="007941FE">
        <w:rPr>
          <w:rFonts w:cs="Helvetica"/>
          <w:sz w:val="24"/>
          <w:szCs w:val="24"/>
          <w:shd w:val="clear" w:color="auto" w:fill="FCFCFC"/>
        </w:rPr>
        <w:t>but</w:t>
      </w:r>
      <w:proofErr w:type="spellEnd"/>
      <w:r w:rsidRPr="005A52BE">
        <w:rPr>
          <w:rFonts w:cs="Helvetica"/>
          <w:sz w:val="24"/>
          <w:szCs w:val="24"/>
          <w:shd w:val="clear" w:color="auto" w:fill="FCFCFC"/>
        </w:rPr>
        <w:t xml:space="preserve"> </w:t>
      </w:r>
      <w:proofErr w:type="spellStart"/>
      <w:r w:rsidRPr="005A52BE">
        <w:rPr>
          <w:rFonts w:cs="Helvetica"/>
          <w:sz w:val="24"/>
          <w:szCs w:val="24"/>
          <w:shd w:val="clear" w:color="auto" w:fill="FCFCFC"/>
        </w:rPr>
        <w:t>registration</w:t>
      </w:r>
      <w:proofErr w:type="spellEnd"/>
      <w:r w:rsidRPr="005A52BE">
        <w:rPr>
          <w:rFonts w:cs="Helvetica"/>
          <w:sz w:val="24"/>
          <w:szCs w:val="24"/>
          <w:shd w:val="clear" w:color="auto" w:fill="FCFCFC"/>
        </w:rPr>
        <w:t xml:space="preserve"> </w:t>
      </w:r>
      <w:r w:rsidR="007941FE">
        <w:rPr>
          <w:rFonts w:cs="Helvetica"/>
          <w:sz w:val="24"/>
          <w:szCs w:val="24"/>
          <w:shd w:val="clear" w:color="auto" w:fill="FCFCFC"/>
        </w:rPr>
        <w:t xml:space="preserve">is </w:t>
      </w:r>
      <w:proofErr w:type="spellStart"/>
      <w:r w:rsidRPr="005A52BE">
        <w:rPr>
          <w:rFonts w:cs="Helvetica"/>
          <w:sz w:val="24"/>
          <w:szCs w:val="24"/>
          <w:shd w:val="clear" w:color="auto" w:fill="FCFCFC"/>
        </w:rPr>
        <w:t>required</w:t>
      </w:r>
      <w:proofErr w:type="spellEnd"/>
      <w:r w:rsidRPr="005A52BE">
        <w:rPr>
          <w:rFonts w:cs="Helvetica"/>
          <w:sz w:val="24"/>
          <w:szCs w:val="24"/>
          <w:shd w:val="clear" w:color="auto" w:fill="FCFCFC"/>
        </w:rPr>
        <w:t xml:space="preserve">! </w:t>
      </w:r>
      <w:proofErr w:type="spellStart"/>
      <w:r>
        <w:rPr>
          <w:rFonts w:cs="Helvetica"/>
          <w:sz w:val="24"/>
          <w:szCs w:val="24"/>
          <w:shd w:val="clear" w:color="auto" w:fill="FCFCFC"/>
        </w:rPr>
        <w:t>Registration</w:t>
      </w:r>
      <w:proofErr w:type="spellEnd"/>
      <w:r>
        <w:rPr>
          <w:rFonts w:cs="Helvetica"/>
          <w:sz w:val="24"/>
          <w:szCs w:val="24"/>
          <w:shd w:val="clear" w:color="auto" w:fill="FCFCFC"/>
        </w:rPr>
        <w:t xml:space="preserve"> link</w:t>
      </w:r>
      <w:r w:rsidRPr="005A52BE">
        <w:rPr>
          <w:rFonts w:cs="Helvetica"/>
          <w:sz w:val="24"/>
          <w:szCs w:val="24"/>
          <w:shd w:val="clear" w:color="auto" w:fill="FCFCFC"/>
        </w:rPr>
        <w:t>:</w:t>
      </w:r>
      <w:bookmarkStart w:id="0" w:name="_GoBack"/>
      <w:bookmarkEnd w:id="0"/>
    </w:p>
    <w:p w:rsidR="005A52BE" w:rsidRPr="005A52BE" w:rsidRDefault="005A52BE" w:rsidP="005A52BE">
      <w:pPr>
        <w:spacing w:line="240" w:lineRule="auto"/>
        <w:jc w:val="both"/>
        <w:rPr>
          <w:sz w:val="24"/>
          <w:szCs w:val="24"/>
        </w:rPr>
      </w:pPr>
      <w:hyperlink r:id="rId14" w:history="1">
        <w:r w:rsidRPr="007D4E10">
          <w:rPr>
            <w:rStyle w:val="Hiperhivatkozs"/>
            <w:sz w:val="24"/>
            <w:szCs w:val="24"/>
          </w:rPr>
          <w:t>http://bvk.hu/be-smart-workshop-doing-business-in-asia-the-importance-of-intellectual-property-protection-an</w:t>
        </w:r>
        <w:r>
          <w:rPr>
            <w:rStyle w:val="Lbjegyzet-hivatkozs"/>
            <w:color w:val="0000FF"/>
            <w:sz w:val="24"/>
            <w:szCs w:val="24"/>
            <w:u w:val="single"/>
          </w:rPr>
          <w:footnoteReference w:id="1"/>
        </w:r>
        <w:r w:rsidRPr="007D4E10">
          <w:rPr>
            <w:rStyle w:val="Hiperhivatkozs"/>
            <w:sz w:val="24"/>
            <w:szCs w:val="24"/>
          </w:rPr>
          <w:t>d-enforcement-20-june-2018/</w:t>
        </w:r>
      </w:hyperlink>
      <w:r>
        <w:rPr>
          <w:sz w:val="24"/>
          <w:szCs w:val="24"/>
        </w:rPr>
        <w:t xml:space="preserve"> </w:t>
      </w:r>
    </w:p>
    <w:sectPr w:rsidR="005A52BE" w:rsidRPr="005A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BE" w:rsidRDefault="005A52BE" w:rsidP="005A52BE">
      <w:pPr>
        <w:spacing w:after="0" w:line="240" w:lineRule="auto"/>
      </w:pPr>
      <w:r>
        <w:separator/>
      </w:r>
    </w:p>
  </w:endnote>
  <w:endnote w:type="continuationSeparator" w:id="0">
    <w:p w:rsidR="005A52BE" w:rsidRDefault="005A52BE" w:rsidP="005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BE" w:rsidRDefault="005A52BE" w:rsidP="005A52BE">
      <w:pPr>
        <w:spacing w:after="0" w:line="240" w:lineRule="auto"/>
      </w:pPr>
      <w:r>
        <w:separator/>
      </w:r>
    </w:p>
  </w:footnote>
  <w:footnote w:type="continuationSeparator" w:id="0">
    <w:p w:rsidR="005A52BE" w:rsidRDefault="005A52BE" w:rsidP="005A52BE">
      <w:pPr>
        <w:spacing w:after="0" w:line="240" w:lineRule="auto"/>
      </w:pPr>
      <w:r>
        <w:continuationSeparator/>
      </w:r>
    </w:p>
  </w:footnote>
  <w:footnote w:id="1">
    <w:p w:rsidR="005A52BE" w:rsidRDefault="005A52BE">
      <w:pPr>
        <w:pStyle w:val="Lbjegyzetszveg"/>
      </w:pPr>
      <w:r>
        <w:t xml:space="preserve">European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Fund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DD1"/>
    <w:multiLevelType w:val="multilevel"/>
    <w:tmpl w:val="80B0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E"/>
    <w:rsid w:val="005A52BE"/>
    <w:rsid w:val="00626401"/>
    <w:rsid w:val="007941FE"/>
    <w:rsid w:val="00852FB8"/>
    <w:rsid w:val="009C6244"/>
    <w:rsid w:val="00C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AF22"/>
  <w15:chartTrackingRefBased/>
  <w15:docId w15:val="{3EB0861F-3FC0-46DE-A9A6-F5960305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A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52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5A52B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A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A52BE"/>
    <w:rPr>
      <w:b/>
      <w:bCs/>
    </w:rPr>
  </w:style>
  <w:style w:type="character" w:styleId="Kiemels">
    <w:name w:val="Emphasis"/>
    <w:basedOn w:val="Bekezdsalapbettpusa"/>
    <w:uiPriority w:val="20"/>
    <w:qFormat/>
    <w:rsid w:val="005A52BE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5A52BE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52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52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5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vk.hu/wp-content/uploads/2018/06/China-IPR-002_edited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vk.hu/wp-content/uploads/2018/06/michal_klaczynski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vk.hu/be-smart-workshop-doing-business-in-asia-the-importance-of-intellectual-property-protection-and-enforcement-20-june-2018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34C0-D9DD-47DD-BA1F-0FDE4220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Mónika</dc:creator>
  <cp:keywords/>
  <dc:description/>
  <cp:lastModifiedBy>Mészáros Mónika</cp:lastModifiedBy>
  <cp:revision>1</cp:revision>
  <dcterms:created xsi:type="dcterms:W3CDTF">2018-06-14T07:08:00Z</dcterms:created>
  <dcterms:modified xsi:type="dcterms:W3CDTF">2018-06-14T07:34:00Z</dcterms:modified>
</cp:coreProperties>
</file>